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AF349">
      <w:pPr>
        <w:keepNext w:val="0"/>
        <w:keepLines w:val="0"/>
        <w:widowControl/>
        <w:suppressLineNumbers w:val="0"/>
        <w:spacing w:before="0" w:beforeAutospacing="0" w:after="160" w:afterAutospacing="0" w:line="256" w:lineRule="auto"/>
        <w:ind w:left="0" w:right="0"/>
        <w:jc w:val="left"/>
        <w:rPr>
          <w:b/>
          <w:bCs/>
          <w:lang w:val="en-US"/>
        </w:rPr>
      </w:pPr>
      <w:r>
        <w:rPr>
          <w:rFonts w:hint="eastAsia" w:ascii="Calibri" w:hAnsi="Calibri" w:eastAsia="Calibri" w:cs="Times New Roman"/>
          <w:b/>
          <w:bCs/>
          <w:kern w:val="2"/>
          <w:sz w:val="22"/>
          <w:szCs w:val="22"/>
          <w:lang w:val="en-US" w:eastAsia="zh-CN" w:bidi="ar"/>
          <w14:ligatures w14:val="standardContextual"/>
        </w:rPr>
        <w:t>THE TEN PLUS HUMANITARIAN FOUNDATION</w:t>
      </w:r>
    </w:p>
    <w:p w14:paraId="7E59E529">
      <w:pPr>
        <w:keepNext w:val="0"/>
        <w:keepLines w:val="0"/>
        <w:widowControl/>
        <w:suppressLineNumbers w:val="0"/>
        <w:spacing w:before="0" w:beforeAutospacing="0" w:after="160" w:afterAutospacing="0" w:line="256" w:lineRule="auto"/>
        <w:ind w:left="0" w:right="0"/>
        <w:jc w:val="left"/>
        <w:rPr>
          <w:b/>
          <w:bCs/>
          <w:lang w:val="en-US"/>
        </w:rPr>
      </w:pPr>
      <w:r>
        <w:rPr>
          <w:rFonts w:hint="eastAsia" w:ascii="Calibri" w:hAnsi="Calibri" w:eastAsia="Calibri" w:cs="Times New Roman"/>
          <w:b/>
          <w:bCs/>
          <w:kern w:val="2"/>
          <w:sz w:val="22"/>
          <w:szCs w:val="22"/>
          <w:lang w:val="en-US" w:eastAsia="zh-CN" w:bidi="ar"/>
          <w14:ligatures w14:val="standardContextual"/>
        </w:rPr>
        <w:t>2026 ANNUAL BUDGET PLAN</w:t>
      </w:r>
    </w:p>
    <w:p w14:paraId="39C1E2F5">
      <w:pPr>
        <w:keepNext w:val="0"/>
        <w:keepLines w:val="0"/>
        <w:widowControl/>
        <w:suppressLineNumbers w:val="0"/>
        <w:spacing w:before="0" w:beforeAutospacing="0" w:after="160" w:afterAutospacing="0" w:line="256" w:lineRule="auto"/>
        <w:ind w:left="0" w:right="0"/>
        <w:jc w:val="left"/>
        <w:rPr>
          <w:lang w:val="en-US"/>
        </w:rPr>
      </w:pPr>
      <w:r>
        <w:rPr>
          <w:rFonts w:hint="eastAsia" w:ascii="Calibri" w:hAnsi="Calibri" w:eastAsia="Calibri" w:cs="Times New Roman"/>
          <w:kern w:val="2"/>
          <w:sz w:val="22"/>
          <w:szCs w:val="22"/>
          <w:lang w:val="en-US" w:eastAsia="zh-CN" w:bidi="ar"/>
          <w14:ligatures w14:val="standardContextual"/>
        </w:rPr>
        <w:t>Prepared for:</w:t>
      </w:r>
      <w:r>
        <w:rPr>
          <w:rFonts w:hint="eastAsia" w:ascii="Calibri" w:hAnsi="Calibri" w:eastAsia="Calibri" w:cs="Times New Roman"/>
          <w:kern w:val="2"/>
          <w:sz w:val="22"/>
          <w:szCs w:val="22"/>
          <w:lang w:val="en-US" w:eastAsia="zh-CN" w:bidi="ar"/>
          <w14:ligatures w14:val="standardContextual"/>
        </w:rPr>
        <w:br w:type="textWrapping"/>
      </w:r>
      <w:r>
        <w:rPr>
          <w:rFonts w:hint="eastAsia" w:ascii="Calibri" w:hAnsi="Calibri" w:eastAsia="Calibri" w:cs="Times New Roman"/>
          <w:kern w:val="2"/>
          <w:sz w:val="22"/>
          <w:szCs w:val="22"/>
          <w:lang w:val="en-US" w:eastAsia="zh-CN" w:bidi="ar"/>
          <w14:ligatures w14:val="standardContextual"/>
        </w:rPr>
        <w:t>The Ten Plus Humanitarian Foundation</w:t>
      </w:r>
    </w:p>
    <w:p w14:paraId="178F22C1">
      <w:pPr>
        <w:keepNext w:val="0"/>
        <w:keepLines w:val="0"/>
        <w:widowControl/>
        <w:suppressLineNumbers w:val="0"/>
        <w:spacing w:before="0" w:beforeAutospacing="0" w:after="160" w:afterAutospacing="0" w:line="256" w:lineRule="auto"/>
        <w:ind w:left="0" w:right="0"/>
        <w:jc w:val="left"/>
        <w:rPr>
          <w:lang w:val="en-US"/>
        </w:rPr>
      </w:pPr>
      <w:r>
        <w:rPr>
          <w:rFonts w:hint="eastAsia" w:ascii="Calibri" w:hAnsi="Calibri" w:eastAsia="Calibri" w:cs="Times New Roman"/>
          <w:kern w:val="2"/>
          <w:sz w:val="22"/>
          <w:szCs w:val="22"/>
          <w:lang w:val="en-US" w:eastAsia="zh-CN" w:bidi="ar"/>
          <w14:ligatures w14:val="standardContextual"/>
        </w:rPr>
        <w:t>Budget Year:</w:t>
      </w:r>
      <w:r>
        <w:rPr>
          <w:rFonts w:hint="eastAsia" w:ascii="Calibri" w:hAnsi="Calibri" w:eastAsia="Calibri" w:cs="Times New Roman"/>
          <w:kern w:val="2"/>
          <w:sz w:val="22"/>
          <w:szCs w:val="22"/>
          <w:lang w:val="en-US" w:eastAsia="zh-CN" w:bidi="ar"/>
          <w14:ligatures w14:val="standardContextual"/>
        </w:rPr>
        <w:br w:type="textWrapping"/>
      </w:r>
      <w:r>
        <w:rPr>
          <w:rFonts w:hint="eastAsia" w:ascii="Calibri" w:hAnsi="Calibri" w:eastAsia="Calibri" w:cs="Times New Roman"/>
          <w:kern w:val="2"/>
          <w:sz w:val="22"/>
          <w:szCs w:val="22"/>
          <w:lang w:val="en-US" w:eastAsia="zh-CN" w:bidi="ar"/>
          <w14:ligatures w14:val="standardContextual"/>
        </w:rPr>
        <w:t>January 2026 – De</w:t>
      </w:r>
      <w:bookmarkStart w:id="0" w:name="_GoBack"/>
      <w:bookmarkEnd w:id="0"/>
      <w:r>
        <w:rPr>
          <w:rFonts w:hint="eastAsia" w:ascii="Calibri" w:hAnsi="Calibri" w:eastAsia="Calibri" w:cs="Times New Roman"/>
          <w:kern w:val="2"/>
          <w:sz w:val="22"/>
          <w:szCs w:val="22"/>
          <w:lang w:val="en-US" w:eastAsia="zh-CN" w:bidi="ar"/>
          <w14:ligatures w14:val="standardContextual"/>
        </w:rPr>
        <w:t>cember 2026</w:t>
      </w:r>
    </w:p>
    <w:p w14:paraId="2A0476FA">
      <w:pPr>
        <w:keepNext w:val="0"/>
        <w:keepLines w:val="0"/>
        <w:widowControl/>
        <w:suppressLineNumbers w:val="0"/>
        <w:spacing w:before="0" w:beforeAutospacing="0" w:after="160" w:afterAutospacing="0" w:line="256" w:lineRule="auto"/>
        <w:ind w:left="0" w:right="0"/>
        <w:jc w:val="center"/>
      </w:pPr>
      <w:r>
        <w:rPr>
          <w:lang w:val="en-US"/>
        </w:rPr>
        <w:pict>
          <v:rect id="_x0000_i1034" o:spt="1" style="height:1.5pt;width:451.3pt;" fillcolor="#A0A0A0" filled="t" stroked="f" coordsize="21600,21600" o:hr="t" o:hrstd="t" o:hralign="center">
            <v:path/>
            <v:fill on="t" focussize="0,0"/>
            <v:stroke on="f"/>
            <v:imagedata o:title=""/>
            <o:lock v:ext="edit"/>
            <w10:wrap type="none"/>
            <w10:anchorlock/>
          </v:rect>
        </w:pict>
      </w:r>
    </w:p>
    <w:p w14:paraId="59DE0072">
      <w:pPr>
        <w:keepNext w:val="0"/>
        <w:keepLines w:val="0"/>
        <w:widowControl/>
        <w:suppressLineNumbers w:val="0"/>
        <w:spacing w:before="0" w:beforeAutospacing="0" w:after="160" w:afterAutospacing="0" w:line="256" w:lineRule="auto"/>
        <w:ind w:left="0" w:right="0"/>
        <w:jc w:val="left"/>
        <w:rPr>
          <w:b/>
          <w:bCs/>
          <w:lang w:val="en-US"/>
        </w:rPr>
      </w:pPr>
      <w:r>
        <w:rPr>
          <w:rFonts w:hint="eastAsia" w:ascii="Calibri" w:hAnsi="Calibri" w:eastAsia="Calibri" w:cs="Times New Roman"/>
          <w:b/>
          <w:bCs/>
          <w:kern w:val="2"/>
          <w:sz w:val="22"/>
          <w:szCs w:val="22"/>
          <w:lang w:val="en-US" w:eastAsia="zh-CN" w:bidi="ar"/>
          <w14:ligatures w14:val="standardContextual"/>
        </w:rPr>
        <w:t>ORGANIZATIONAL OVERVIEW</w:t>
      </w:r>
    </w:p>
    <w:p w14:paraId="738AB049">
      <w:pPr>
        <w:keepNext w:val="0"/>
        <w:keepLines w:val="0"/>
        <w:widowControl/>
        <w:suppressLineNumbers w:val="0"/>
        <w:spacing w:before="0" w:beforeAutospacing="0" w:after="160" w:afterAutospacing="0" w:line="256" w:lineRule="auto"/>
        <w:ind w:left="0" w:right="0"/>
        <w:jc w:val="left"/>
        <w:rPr>
          <w:lang w:val="en-US"/>
        </w:rPr>
      </w:pPr>
      <w:r>
        <w:rPr>
          <w:rFonts w:hint="eastAsia" w:ascii="Calibri" w:hAnsi="Calibri" w:eastAsia="Calibri" w:cs="Times New Roman"/>
          <w:kern w:val="2"/>
          <w:sz w:val="22"/>
          <w:szCs w:val="22"/>
          <w:lang w:val="en-US" w:eastAsia="zh-CN" w:bidi="ar"/>
          <w14:ligatures w14:val="standardContextual"/>
        </w:rPr>
        <w:t>The Ten Plus Humanitarian Foundation is a non-governmental and humanitarian organization committed to improving the welfare of vulnerable communities through sustainable development initiatives, humanitarian interventions, Education Support, WASH Services, Empowerment Programs, and Community Infrastructure Development.</w:t>
      </w:r>
    </w:p>
    <w:p w14:paraId="612C697B">
      <w:pPr>
        <w:keepNext w:val="0"/>
        <w:keepLines w:val="0"/>
        <w:widowControl/>
        <w:suppressLineNumbers w:val="0"/>
        <w:spacing w:before="0" w:beforeAutospacing="0" w:after="160" w:afterAutospacing="0" w:line="256" w:lineRule="auto"/>
        <w:ind w:left="0" w:right="0"/>
        <w:jc w:val="left"/>
        <w:rPr>
          <w:lang w:val="en-US"/>
        </w:rPr>
      </w:pPr>
      <w:r>
        <w:rPr>
          <w:rFonts w:hint="eastAsia" w:ascii="Calibri" w:hAnsi="Calibri" w:eastAsia="Calibri" w:cs="Times New Roman"/>
          <w:kern w:val="2"/>
          <w:sz w:val="22"/>
          <w:szCs w:val="22"/>
          <w:lang w:val="en-US" w:eastAsia="zh-CN" w:bidi="ar"/>
          <w14:ligatures w14:val="standardContextual"/>
        </w:rPr>
        <w:t>The 2026 Budget Plan is designed to support the Foundation’s strategic objectives in the areas of Water, Sanitation and Hygiene (WASH), Educate The Child Projects (ECP), humanitarian response, and operational sustainability.</w:t>
      </w:r>
    </w:p>
    <w:p w14:paraId="7BB85226">
      <w:pPr>
        <w:keepNext w:val="0"/>
        <w:keepLines w:val="0"/>
        <w:widowControl/>
        <w:suppressLineNumbers w:val="0"/>
        <w:spacing w:before="0" w:beforeAutospacing="0" w:after="160" w:afterAutospacing="0" w:line="256" w:lineRule="auto"/>
        <w:ind w:left="0" w:right="0"/>
        <w:jc w:val="center"/>
      </w:pPr>
      <w:r>
        <w:rPr>
          <w:lang w:val="en-US"/>
        </w:rPr>
        <w:pict>
          <v:rect id="_x0000_i1035" o:spt="1" style="height:1.5pt;width:451.3pt;" fillcolor="#A0A0A0" filled="t" stroked="f" coordsize="21600,21600" o:hr="t" o:hrstd="t" o:hralign="center">
            <v:path/>
            <v:fill on="t" focussize="0,0"/>
            <v:stroke on="f"/>
            <v:imagedata o:title=""/>
            <o:lock v:ext="edit"/>
            <w10:wrap type="none"/>
            <w10:anchorlock/>
          </v:rect>
        </w:pict>
      </w:r>
    </w:p>
    <w:p w14:paraId="6C3F9D0C">
      <w:pPr>
        <w:keepNext w:val="0"/>
        <w:keepLines w:val="0"/>
        <w:widowControl/>
        <w:suppressLineNumbers w:val="0"/>
        <w:spacing w:before="0" w:beforeAutospacing="0" w:after="160" w:afterAutospacing="0" w:line="256" w:lineRule="auto"/>
        <w:ind w:left="0" w:right="0"/>
        <w:jc w:val="left"/>
        <w:rPr>
          <w:b/>
          <w:bCs/>
          <w:lang w:val="en-US"/>
        </w:rPr>
      </w:pPr>
      <w:r>
        <w:rPr>
          <w:rFonts w:hint="eastAsia" w:ascii="Calibri" w:hAnsi="Calibri" w:eastAsia="Calibri" w:cs="Times New Roman"/>
          <w:b/>
          <w:bCs/>
          <w:kern w:val="2"/>
          <w:sz w:val="22"/>
          <w:szCs w:val="22"/>
          <w:lang w:val="en-US" w:eastAsia="zh-CN" w:bidi="ar"/>
          <w14:ligatures w14:val="standardContextual"/>
        </w:rPr>
        <w:t>2026 STRATEGIC PRIORITY AREAS</w:t>
      </w:r>
    </w:p>
    <w:p w14:paraId="20897F00">
      <w:pPr>
        <w:keepNext w:val="0"/>
        <w:keepLines w:val="0"/>
        <w:widowControl/>
        <w:numPr>
          <w:ilvl w:val="0"/>
          <w:numId w:val="1"/>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Water, Sanitation and Hygiene (WASH) </w:t>
      </w:r>
    </w:p>
    <w:p w14:paraId="544F6507">
      <w:pPr>
        <w:keepNext w:val="0"/>
        <w:keepLines w:val="0"/>
        <w:widowControl/>
        <w:numPr>
          <w:ilvl w:val="0"/>
          <w:numId w:val="1"/>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Education and Community Projects (ECP) </w:t>
      </w:r>
    </w:p>
    <w:p w14:paraId="4EF72450">
      <w:pPr>
        <w:keepNext w:val="0"/>
        <w:keepLines w:val="0"/>
        <w:widowControl/>
        <w:numPr>
          <w:ilvl w:val="0"/>
          <w:numId w:val="1"/>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Community Infrastructure Development </w:t>
      </w:r>
    </w:p>
    <w:p w14:paraId="48498312">
      <w:pPr>
        <w:keepNext w:val="0"/>
        <w:keepLines w:val="0"/>
        <w:widowControl/>
        <w:numPr>
          <w:ilvl w:val="0"/>
          <w:numId w:val="1"/>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Humanitarian and Emergency Response </w:t>
      </w:r>
    </w:p>
    <w:p w14:paraId="3709399E">
      <w:pPr>
        <w:keepNext w:val="0"/>
        <w:keepLines w:val="0"/>
        <w:widowControl/>
        <w:numPr>
          <w:ilvl w:val="0"/>
          <w:numId w:val="1"/>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Monitoring, Evaluation and Accountability </w:t>
      </w:r>
    </w:p>
    <w:p w14:paraId="7C01422D">
      <w:pPr>
        <w:keepNext w:val="0"/>
        <w:keepLines w:val="0"/>
        <w:widowControl/>
        <w:numPr>
          <w:ilvl w:val="0"/>
          <w:numId w:val="1"/>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Administrative and Operational Support </w:t>
      </w:r>
    </w:p>
    <w:p w14:paraId="37ADD26D">
      <w:pPr>
        <w:keepNext w:val="0"/>
        <w:keepLines w:val="0"/>
        <w:widowControl/>
        <w:numPr>
          <w:ilvl w:val="0"/>
          <w:numId w:val="1"/>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Logistics and Field Coordination </w:t>
      </w:r>
    </w:p>
    <w:p w14:paraId="1EE2C216">
      <w:pPr>
        <w:keepNext w:val="0"/>
        <w:keepLines w:val="0"/>
        <w:widowControl/>
        <w:numPr>
          <w:ilvl w:val="0"/>
          <w:numId w:val="1"/>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Project Sustainability/Impact </w:t>
      </w:r>
    </w:p>
    <w:p w14:paraId="0D116AF8">
      <w:pPr>
        <w:keepNext w:val="0"/>
        <w:keepLines w:val="0"/>
        <w:widowControl/>
        <w:suppressLineNumbers w:val="0"/>
        <w:spacing w:before="0" w:beforeAutospacing="0" w:after="160" w:afterAutospacing="0" w:line="256" w:lineRule="auto"/>
        <w:ind w:left="0" w:right="0"/>
        <w:jc w:val="center"/>
      </w:pPr>
      <w:r>
        <w:rPr>
          <w:rFonts w:hint="eastAsia" w:ascii="Calibri" w:hAnsi="Calibri" w:eastAsia="Calibri" w:cs="Times New Roman"/>
          <w:kern w:val="2"/>
          <w:sz w:val="22"/>
          <w:szCs w:val="22"/>
          <w:lang w:val="en-US" w:eastAsia="en-US"/>
        </w:rPr>
        <w:pict>
          <v:rect id="_x0000_i1036" o:spt="1" style="height:1.5pt;width:451.3pt;" fillcolor="#A0A0A0" filled="t" stroked="f" coordsize="21600,21600" o:hr="t" o:hrstd="t" o:hralign="center">
            <v:path/>
            <v:fill on="t" focussize="0,0"/>
            <v:stroke on="f"/>
            <v:imagedata o:title=""/>
            <o:lock v:ext="edit"/>
            <w10:wrap type="none"/>
            <w10:anchorlock/>
          </v:rect>
        </w:pict>
      </w:r>
    </w:p>
    <w:p w14:paraId="54C72F06">
      <w:pPr>
        <w:keepNext w:val="0"/>
        <w:keepLines w:val="0"/>
        <w:widowControl/>
        <w:suppressLineNumbers w:val="0"/>
        <w:spacing w:before="0" w:beforeAutospacing="0" w:after="160" w:afterAutospacing="0" w:line="256" w:lineRule="auto"/>
        <w:ind w:left="0" w:right="0"/>
        <w:jc w:val="left"/>
        <w:rPr>
          <w:b/>
          <w:bCs/>
          <w:lang w:val="en-US"/>
        </w:rPr>
      </w:pPr>
      <w:r>
        <w:rPr>
          <w:rFonts w:hint="eastAsia" w:ascii="Calibri" w:hAnsi="Calibri" w:eastAsia="Calibri" w:cs="Times New Roman"/>
          <w:b/>
          <w:bCs/>
          <w:kern w:val="2"/>
          <w:sz w:val="22"/>
          <w:szCs w:val="22"/>
          <w:lang w:val="en-US" w:eastAsia="zh-CN" w:bidi="ar"/>
          <w14:ligatures w14:val="standardContextual"/>
        </w:rPr>
        <w:t>SUMMARY OF 2026 PROJECT BUDGET</w:t>
      </w:r>
    </w:p>
    <w:tbl>
      <w:tblPr>
        <w:tblStyle w:val="12"/>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19"/>
        <w:gridCol w:w="2819"/>
        <w:gridCol w:w="2932"/>
      </w:tblGrid>
      <w:tr w14:paraId="658A4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blHeader/>
          <w:tblCellSpacing w:w="15" w:type="dxa"/>
        </w:trPr>
        <w:tc>
          <w:tcPr>
            <w:tcW w:w="0" w:type="auto"/>
            <w:shd w:val="clear"/>
            <w:tcMar>
              <w:top w:w="15" w:type="dxa"/>
              <w:left w:w="15" w:type="dxa"/>
              <w:bottom w:w="15" w:type="dxa"/>
              <w:right w:w="15" w:type="dxa"/>
            </w:tcMar>
            <w:vAlign w:val="center"/>
          </w:tcPr>
          <w:p w14:paraId="11842AD6">
            <w:pPr>
              <w:keepNext w:val="0"/>
              <w:keepLines w:val="0"/>
              <w:widowControl/>
              <w:suppressLineNumbers w:val="0"/>
              <w:spacing w:before="0" w:beforeAutospacing="0" w:after="160" w:afterAutospacing="0" w:line="256" w:lineRule="auto"/>
              <w:ind w:left="0" w:right="0"/>
              <w:jc w:val="left"/>
              <w:rPr>
                <w:b/>
                <w:bCs/>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S/N</w:t>
            </w:r>
          </w:p>
        </w:tc>
        <w:tc>
          <w:tcPr>
            <w:tcW w:w="0" w:type="auto"/>
            <w:shd w:val="clear"/>
            <w:tcMar>
              <w:top w:w="15" w:type="dxa"/>
              <w:left w:w="15" w:type="dxa"/>
              <w:bottom w:w="15" w:type="dxa"/>
              <w:right w:w="15" w:type="dxa"/>
            </w:tcMar>
            <w:vAlign w:val="center"/>
          </w:tcPr>
          <w:p w14:paraId="08023157">
            <w:pPr>
              <w:keepNext w:val="0"/>
              <w:keepLines w:val="0"/>
              <w:widowControl/>
              <w:suppressLineNumbers w:val="0"/>
              <w:spacing w:before="0" w:beforeAutospacing="0" w:after="160" w:afterAutospacing="0" w:line="256" w:lineRule="auto"/>
              <w:ind w:left="0" w:right="0"/>
              <w:jc w:val="left"/>
              <w:rPr>
                <w:b/>
                <w:bCs/>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PROJECT COMPONENT</w:t>
            </w:r>
          </w:p>
        </w:tc>
        <w:tc>
          <w:tcPr>
            <w:tcW w:w="0" w:type="auto"/>
            <w:shd w:val="clear"/>
            <w:tcMar>
              <w:top w:w="15" w:type="dxa"/>
              <w:left w:w="15" w:type="dxa"/>
              <w:bottom w:w="15" w:type="dxa"/>
              <w:right w:w="15" w:type="dxa"/>
            </w:tcMar>
            <w:vAlign w:val="center"/>
          </w:tcPr>
          <w:p w14:paraId="7B4E1D25">
            <w:pPr>
              <w:keepNext w:val="0"/>
              <w:keepLines w:val="0"/>
              <w:widowControl/>
              <w:suppressLineNumbers w:val="0"/>
              <w:spacing w:before="0" w:beforeAutospacing="0" w:after="160" w:afterAutospacing="0" w:line="256" w:lineRule="auto"/>
              <w:ind w:left="0" w:right="0"/>
              <w:jc w:val="left"/>
              <w:rPr>
                <w:b/>
                <w:bCs/>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AMOUNT (USD)</w:t>
            </w:r>
          </w:p>
        </w:tc>
      </w:tr>
      <w:tr w14:paraId="5AEB3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5829C556">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1</w:t>
            </w:r>
          </w:p>
        </w:tc>
        <w:tc>
          <w:tcPr>
            <w:tcW w:w="0" w:type="auto"/>
            <w:shd w:val="clear"/>
            <w:tcMar>
              <w:top w:w="15" w:type="dxa"/>
              <w:left w:w="15" w:type="dxa"/>
              <w:bottom w:w="15" w:type="dxa"/>
              <w:right w:w="15" w:type="dxa"/>
            </w:tcMar>
            <w:vAlign w:val="center"/>
          </w:tcPr>
          <w:p w14:paraId="5AEA6DAE">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WASH Project</w:t>
            </w:r>
          </w:p>
        </w:tc>
        <w:tc>
          <w:tcPr>
            <w:tcW w:w="0" w:type="auto"/>
            <w:shd w:val="clear"/>
            <w:tcMar>
              <w:top w:w="15" w:type="dxa"/>
              <w:left w:w="15" w:type="dxa"/>
              <w:bottom w:w="15" w:type="dxa"/>
              <w:right w:w="15" w:type="dxa"/>
            </w:tcMar>
            <w:vAlign w:val="center"/>
          </w:tcPr>
          <w:p w14:paraId="5020DE93">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$123,368.07</w:t>
            </w:r>
          </w:p>
        </w:tc>
      </w:tr>
      <w:tr w14:paraId="0D451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47DEC4CA">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2</w:t>
            </w:r>
          </w:p>
        </w:tc>
        <w:tc>
          <w:tcPr>
            <w:tcW w:w="0" w:type="auto"/>
            <w:shd w:val="clear"/>
            <w:tcMar>
              <w:top w:w="15" w:type="dxa"/>
              <w:left w:w="15" w:type="dxa"/>
              <w:bottom w:w="15" w:type="dxa"/>
              <w:right w:w="15" w:type="dxa"/>
            </w:tcMar>
            <w:vAlign w:val="center"/>
          </w:tcPr>
          <w:p w14:paraId="78FABC15">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Educate the Child Project (ECP)</w:t>
            </w:r>
          </w:p>
        </w:tc>
        <w:tc>
          <w:tcPr>
            <w:tcW w:w="0" w:type="auto"/>
            <w:shd w:val="clear"/>
            <w:tcMar>
              <w:top w:w="15" w:type="dxa"/>
              <w:left w:w="15" w:type="dxa"/>
              <w:bottom w:w="15" w:type="dxa"/>
              <w:right w:w="15" w:type="dxa"/>
            </w:tcMar>
            <w:vAlign w:val="center"/>
          </w:tcPr>
          <w:p w14:paraId="39625482">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$210,132.29</w:t>
            </w:r>
          </w:p>
        </w:tc>
      </w:tr>
      <w:tr w14:paraId="51CFA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2BA22119">
            <w:pPr>
              <w:rPr>
                <w:rFonts w:hint="eastAsia" w:ascii="Calibri" w:hAnsi="Calibri" w:cs="Times New Roman"/>
                <w:kern w:val="2"/>
                <w:sz w:val="22"/>
                <w:szCs w:val="22"/>
                <w:lang w:eastAsia="en-US"/>
              </w:rPr>
            </w:pPr>
          </w:p>
        </w:tc>
        <w:tc>
          <w:tcPr>
            <w:tcW w:w="0" w:type="auto"/>
            <w:shd w:val="clear"/>
            <w:tcMar>
              <w:top w:w="15" w:type="dxa"/>
              <w:left w:w="15" w:type="dxa"/>
              <w:bottom w:w="15" w:type="dxa"/>
              <w:right w:w="15" w:type="dxa"/>
            </w:tcMar>
            <w:vAlign w:val="center"/>
          </w:tcPr>
          <w:p w14:paraId="280C7A41">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TOTAL PROJECT BUDGET</w:t>
            </w:r>
          </w:p>
        </w:tc>
        <w:tc>
          <w:tcPr>
            <w:tcW w:w="0" w:type="auto"/>
            <w:shd w:val="clear"/>
            <w:tcMar>
              <w:top w:w="15" w:type="dxa"/>
              <w:left w:w="15" w:type="dxa"/>
              <w:bottom w:w="15" w:type="dxa"/>
              <w:right w:w="15" w:type="dxa"/>
            </w:tcMar>
            <w:vAlign w:val="center"/>
          </w:tcPr>
          <w:p w14:paraId="5359CF76">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$333,500.36 (₦488,578,027.40)</w:t>
            </w:r>
          </w:p>
        </w:tc>
      </w:tr>
    </w:tbl>
    <w:p w14:paraId="78FEF6EB">
      <w:pPr>
        <w:keepNext w:val="0"/>
        <w:keepLines w:val="0"/>
        <w:widowControl/>
        <w:suppressLineNumbers w:val="0"/>
        <w:spacing w:before="0" w:beforeAutospacing="0" w:after="160" w:afterAutospacing="0" w:line="256" w:lineRule="auto"/>
        <w:ind w:left="0" w:right="0"/>
        <w:jc w:val="center"/>
      </w:pPr>
      <w:r>
        <w:rPr>
          <w:sz w:val="24"/>
          <w:szCs w:val="24"/>
        </w:rPr>
        <w:pict>
          <v:rect id="_x0000_i1037" o:spt="1" style="height:1.5pt;width:451.3pt;" fillcolor="#A0A0A0" filled="t" stroked="f" coordsize="21600,21600" o:hr="t" o:hrstd="t" o:hralign="center">
            <v:path/>
            <v:fill on="t" focussize="0,0"/>
            <v:stroke on="f"/>
            <v:imagedata o:title=""/>
            <o:lock v:ext="edit"/>
            <w10:wrap type="none"/>
            <w10:anchorlock/>
          </v:rect>
        </w:pict>
      </w:r>
    </w:p>
    <w:p w14:paraId="254E8D0F">
      <w:pPr>
        <w:keepNext w:val="0"/>
        <w:keepLines w:val="0"/>
        <w:widowControl/>
        <w:suppressLineNumbers w:val="0"/>
        <w:spacing w:before="0" w:beforeAutospacing="0" w:after="160" w:afterAutospacing="0" w:line="256" w:lineRule="auto"/>
        <w:ind w:left="0" w:right="0"/>
        <w:jc w:val="left"/>
        <w:rPr>
          <w:b/>
          <w:bCs/>
          <w:lang w:val="en-US"/>
        </w:rPr>
      </w:pPr>
      <w:r>
        <w:rPr>
          <w:rFonts w:hint="eastAsia" w:ascii="Calibri" w:hAnsi="Calibri" w:eastAsia="Calibri" w:cs="Times New Roman"/>
          <w:b/>
          <w:bCs/>
          <w:kern w:val="2"/>
          <w:sz w:val="22"/>
          <w:szCs w:val="22"/>
          <w:lang w:val="en-US" w:eastAsia="zh-CN" w:bidi="ar"/>
          <w14:ligatures w14:val="standardContextual"/>
        </w:rPr>
        <w:t>DETAILED 2026 BUDGET PLAN</w:t>
      </w:r>
    </w:p>
    <w:p w14:paraId="36D063B0">
      <w:pPr>
        <w:keepNext w:val="0"/>
        <w:keepLines w:val="0"/>
        <w:widowControl/>
        <w:suppressLineNumbers w:val="0"/>
        <w:spacing w:before="0" w:beforeAutospacing="0" w:after="160" w:afterAutospacing="0" w:line="256" w:lineRule="auto"/>
        <w:ind w:left="0" w:right="0"/>
        <w:jc w:val="center"/>
      </w:pPr>
      <w:r>
        <w:rPr>
          <w:b/>
          <w:bCs/>
          <w:lang w:val="en-US"/>
        </w:rPr>
        <w:pict>
          <v:rect id="_x0000_i1038" o:spt="1" style="height:1.5pt;width:451.3pt;" fillcolor="#A0A0A0" filled="t" stroked="f" coordsize="21600,21600" o:hr="t" o:hrstd="t" o:hralign="center">
            <v:path/>
            <v:fill on="t" focussize="0,0"/>
            <v:stroke on="f"/>
            <v:imagedata o:title=""/>
            <o:lock v:ext="edit"/>
            <w10:wrap type="none"/>
            <w10:anchorlock/>
          </v:rect>
        </w:pict>
      </w:r>
    </w:p>
    <w:p w14:paraId="50FFAEDB">
      <w:pPr>
        <w:keepNext w:val="0"/>
        <w:keepLines w:val="0"/>
        <w:widowControl/>
        <w:suppressLineNumbers w:val="0"/>
        <w:spacing w:before="0" w:beforeAutospacing="0" w:after="160" w:afterAutospacing="0" w:line="256" w:lineRule="auto"/>
        <w:ind w:left="0" w:right="0"/>
        <w:jc w:val="left"/>
        <w:rPr>
          <w:b/>
          <w:bCs/>
          <w:lang w:val="en-US"/>
        </w:rPr>
      </w:pPr>
      <w:r>
        <w:rPr>
          <w:rFonts w:hint="eastAsia" w:ascii="Calibri" w:hAnsi="Calibri" w:eastAsia="Calibri" w:cs="Times New Roman"/>
          <w:b/>
          <w:bCs/>
          <w:kern w:val="2"/>
          <w:sz w:val="22"/>
          <w:szCs w:val="22"/>
          <w:lang w:val="en-US" w:eastAsia="zh-CN" w:bidi="ar"/>
          <w14:ligatures w14:val="standardContextual"/>
        </w:rPr>
        <w:t>1. WASH PROJECT BUDGET</w:t>
      </w:r>
    </w:p>
    <w:p w14:paraId="4776BA10">
      <w:pPr>
        <w:keepNext w:val="0"/>
        <w:keepLines w:val="0"/>
        <w:widowControl/>
        <w:suppressLineNumbers w:val="0"/>
        <w:spacing w:before="0" w:beforeAutospacing="0" w:after="160" w:afterAutospacing="0" w:line="256" w:lineRule="auto"/>
        <w:ind w:left="0" w:right="0"/>
        <w:jc w:val="left"/>
        <w:rPr>
          <w:lang w:val="en-US"/>
        </w:rPr>
      </w:pPr>
      <w:r>
        <w:rPr>
          <w:rFonts w:hint="eastAsia" w:ascii="Calibri" w:hAnsi="Calibri" w:eastAsia="Calibri" w:cs="Times New Roman"/>
          <w:kern w:val="2"/>
          <w:sz w:val="22"/>
          <w:szCs w:val="22"/>
          <w:lang w:val="en-US" w:eastAsia="zh-CN" w:bidi="ar"/>
          <w14:ligatures w14:val="standardContextual"/>
        </w:rPr>
        <w:t>Key Components:</w:t>
      </w:r>
    </w:p>
    <w:p w14:paraId="5E7F89F5">
      <w:pPr>
        <w:keepNext w:val="0"/>
        <w:keepLines w:val="0"/>
        <w:widowControl/>
        <w:numPr>
          <w:ilvl w:val="0"/>
          <w:numId w:val="2"/>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Construction of Ultra-Modern Public Convenience </w:t>
      </w:r>
    </w:p>
    <w:p w14:paraId="635BF232">
      <w:pPr>
        <w:keepNext w:val="0"/>
        <w:keepLines w:val="0"/>
        <w:widowControl/>
        <w:numPr>
          <w:ilvl w:val="0"/>
          <w:numId w:val="2"/>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Solar Powered Boreholes </w:t>
      </w:r>
    </w:p>
    <w:p w14:paraId="406491B5">
      <w:pPr>
        <w:keepNext w:val="0"/>
        <w:keepLines w:val="0"/>
        <w:widowControl/>
        <w:numPr>
          <w:ilvl w:val="0"/>
          <w:numId w:val="2"/>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Water Supply Systems </w:t>
      </w:r>
    </w:p>
    <w:p w14:paraId="6F3D5A21">
      <w:pPr>
        <w:keepNext w:val="0"/>
        <w:keepLines w:val="0"/>
        <w:widowControl/>
        <w:numPr>
          <w:ilvl w:val="0"/>
          <w:numId w:val="2"/>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Solar Street Lights </w:t>
      </w:r>
    </w:p>
    <w:p w14:paraId="2897B34F">
      <w:pPr>
        <w:keepNext w:val="0"/>
        <w:keepLines w:val="0"/>
        <w:widowControl/>
        <w:numPr>
          <w:ilvl w:val="0"/>
          <w:numId w:val="2"/>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Logistics and Field Operations </w:t>
      </w:r>
    </w:p>
    <w:p w14:paraId="7E2B6E95">
      <w:pPr>
        <w:keepNext w:val="0"/>
        <w:keepLines w:val="0"/>
        <w:widowControl/>
        <w:numPr>
          <w:ilvl w:val="0"/>
          <w:numId w:val="2"/>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Community Hygiene Support </w:t>
      </w:r>
    </w:p>
    <w:tbl>
      <w:tblPr>
        <w:tblStyle w:val="12"/>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19"/>
        <w:gridCol w:w="4051"/>
        <w:gridCol w:w="1411"/>
      </w:tblGrid>
      <w:tr w14:paraId="275C2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blHeader/>
          <w:tblCellSpacing w:w="15" w:type="dxa"/>
        </w:trPr>
        <w:tc>
          <w:tcPr>
            <w:tcW w:w="0" w:type="auto"/>
            <w:shd w:val="clear"/>
            <w:tcMar>
              <w:top w:w="15" w:type="dxa"/>
              <w:left w:w="15" w:type="dxa"/>
              <w:bottom w:w="15" w:type="dxa"/>
              <w:right w:w="15" w:type="dxa"/>
            </w:tcMar>
            <w:vAlign w:val="center"/>
          </w:tcPr>
          <w:p w14:paraId="5BBF968D">
            <w:pPr>
              <w:keepNext w:val="0"/>
              <w:keepLines w:val="0"/>
              <w:widowControl/>
              <w:suppressLineNumbers w:val="0"/>
              <w:spacing w:before="0" w:beforeAutospacing="0" w:after="160" w:afterAutospacing="0" w:line="256" w:lineRule="auto"/>
              <w:ind w:left="0" w:right="0"/>
              <w:jc w:val="left"/>
              <w:rPr>
                <w:b/>
                <w:bCs/>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S/N</w:t>
            </w:r>
          </w:p>
        </w:tc>
        <w:tc>
          <w:tcPr>
            <w:tcW w:w="0" w:type="auto"/>
            <w:shd w:val="clear"/>
            <w:tcMar>
              <w:top w:w="15" w:type="dxa"/>
              <w:left w:w="15" w:type="dxa"/>
              <w:bottom w:w="15" w:type="dxa"/>
              <w:right w:w="15" w:type="dxa"/>
            </w:tcMar>
            <w:vAlign w:val="center"/>
          </w:tcPr>
          <w:p w14:paraId="61C89B83">
            <w:pPr>
              <w:keepNext w:val="0"/>
              <w:keepLines w:val="0"/>
              <w:widowControl/>
              <w:suppressLineNumbers w:val="0"/>
              <w:spacing w:before="0" w:beforeAutospacing="0" w:after="160" w:afterAutospacing="0" w:line="256" w:lineRule="auto"/>
              <w:ind w:left="0" w:right="0"/>
              <w:jc w:val="left"/>
              <w:rPr>
                <w:b/>
                <w:bCs/>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WASH ACTIVITIES</w:t>
            </w:r>
          </w:p>
        </w:tc>
        <w:tc>
          <w:tcPr>
            <w:tcW w:w="0" w:type="auto"/>
            <w:shd w:val="clear"/>
            <w:tcMar>
              <w:top w:w="15" w:type="dxa"/>
              <w:left w:w="15" w:type="dxa"/>
              <w:bottom w:w="15" w:type="dxa"/>
              <w:right w:w="15" w:type="dxa"/>
            </w:tcMar>
            <w:vAlign w:val="center"/>
          </w:tcPr>
          <w:p w14:paraId="7320D22E">
            <w:pPr>
              <w:keepNext w:val="0"/>
              <w:keepLines w:val="0"/>
              <w:widowControl/>
              <w:suppressLineNumbers w:val="0"/>
              <w:spacing w:before="0" w:beforeAutospacing="0" w:after="160" w:afterAutospacing="0" w:line="256" w:lineRule="auto"/>
              <w:ind w:left="0" w:right="0"/>
              <w:jc w:val="left"/>
              <w:rPr>
                <w:b/>
                <w:bCs/>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BUDGET (USD)</w:t>
            </w:r>
          </w:p>
        </w:tc>
      </w:tr>
      <w:tr w14:paraId="6723F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7C25D36E">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1</w:t>
            </w:r>
          </w:p>
        </w:tc>
        <w:tc>
          <w:tcPr>
            <w:tcW w:w="0" w:type="auto"/>
            <w:shd w:val="clear"/>
            <w:tcMar>
              <w:top w:w="15" w:type="dxa"/>
              <w:left w:w="15" w:type="dxa"/>
              <w:bottom w:w="15" w:type="dxa"/>
              <w:right w:w="15" w:type="dxa"/>
            </w:tcMar>
            <w:vAlign w:val="center"/>
          </w:tcPr>
          <w:p w14:paraId="0281E93F">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Construction of Public Convenience Facilities</w:t>
            </w:r>
          </w:p>
        </w:tc>
        <w:tc>
          <w:tcPr>
            <w:tcW w:w="0" w:type="auto"/>
            <w:shd w:val="clear"/>
            <w:tcMar>
              <w:top w:w="15" w:type="dxa"/>
              <w:left w:w="15" w:type="dxa"/>
              <w:bottom w:w="15" w:type="dxa"/>
              <w:right w:w="15" w:type="dxa"/>
            </w:tcMar>
            <w:vAlign w:val="center"/>
          </w:tcPr>
          <w:p w14:paraId="31944CC5">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$10,075.21</w:t>
            </w:r>
          </w:p>
        </w:tc>
      </w:tr>
      <w:tr w14:paraId="2B020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7A4DA699">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2</w:t>
            </w:r>
          </w:p>
        </w:tc>
        <w:tc>
          <w:tcPr>
            <w:tcW w:w="0" w:type="auto"/>
            <w:shd w:val="clear"/>
            <w:tcMar>
              <w:top w:w="15" w:type="dxa"/>
              <w:left w:w="15" w:type="dxa"/>
              <w:bottom w:w="15" w:type="dxa"/>
              <w:right w:w="15" w:type="dxa"/>
            </w:tcMar>
            <w:vAlign w:val="center"/>
          </w:tcPr>
          <w:p w14:paraId="254F89C8">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Solar Powered Boreholes and Water Systems</w:t>
            </w:r>
          </w:p>
        </w:tc>
        <w:tc>
          <w:tcPr>
            <w:tcW w:w="0" w:type="auto"/>
            <w:shd w:val="clear"/>
            <w:tcMar>
              <w:top w:w="15" w:type="dxa"/>
              <w:left w:w="15" w:type="dxa"/>
              <w:bottom w:w="15" w:type="dxa"/>
              <w:right w:w="15" w:type="dxa"/>
            </w:tcMar>
            <w:vAlign w:val="center"/>
          </w:tcPr>
          <w:p w14:paraId="6D79F39A">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$40,380.46</w:t>
            </w:r>
          </w:p>
        </w:tc>
      </w:tr>
      <w:tr w14:paraId="4C633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4AAC6FBE">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3</w:t>
            </w:r>
          </w:p>
        </w:tc>
        <w:tc>
          <w:tcPr>
            <w:tcW w:w="0" w:type="auto"/>
            <w:shd w:val="clear"/>
            <w:tcMar>
              <w:top w:w="15" w:type="dxa"/>
              <w:left w:w="15" w:type="dxa"/>
              <w:bottom w:w="15" w:type="dxa"/>
              <w:right w:w="15" w:type="dxa"/>
            </w:tcMar>
            <w:vAlign w:val="center"/>
          </w:tcPr>
          <w:p w14:paraId="18D89041">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Solar Street Lights Installation</w:t>
            </w:r>
          </w:p>
        </w:tc>
        <w:tc>
          <w:tcPr>
            <w:tcW w:w="0" w:type="auto"/>
            <w:shd w:val="clear"/>
            <w:tcMar>
              <w:top w:w="15" w:type="dxa"/>
              <w:left w:w="15" w:type="dxa"/>
              <w:bottom w:w="15" w:type="dxa"/>
              <w:right w:w="15" w:type="dxa"/>
            </w:tcMar>
            <w:vAlign w:val="center"/>
          </w:tcPr>
          <w:p w14:paraId="70D28169">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$4,531.30</w:t>
            </w:r>
          </w:p>
        </w:tc>
      </w:tr>
      <w:tr w14:paraId="7102F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3BC8F012">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4</w:t>
            </w:r>
          </w:p>
        </w:tc>
        <w:tc>
          <w:tcPr>
            <w:tcW w:w="0" w:type="auto"/>
            <w:shd w:val="clear"/>
            <w:tcMar>
              <w:top w:w="15" w:type="dxa"/>
              <w:left w:w="15" w:type="dxa"/>
              <w:bottom w:w="15" w:type="dxa"/>
              <w:right w:w="15" w:type="dxa"/>
            </w:tcMar>
            <w:vAlign w:val="center"/>
          </w:tcPr>
          <w:p w14:paraId="2B797CF5">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Toyota Hilux for Project Operations</w:t>
            </w:r>
          </w:p>
        </w:tc>
        <w:tc>
          <w:tcPr>
            <w:tcW w:w="0" w:type="auto"/>
            <w:shd w:val="clear"/>
            <w:tcMar>
              <w:top w:w="15" w:type="dxa"/>
              <w:left w:w="15" w:type="dxa"/>
              <w:bottom w:w="15" w:type="dxa"/>
              <w:right w:w="15" w:type="dxa"/>
            </w:tcMar>
            <w:vAlign w:val="center"/>
          </w:tcPr>
          <w:p w14:paraId="50B3F167">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$41,772.30</w:t>
            </w:r>
          </w:p>
        </w:tc>
      </w:tr>
      <w:tr w14:paraId="68A69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5054C25C">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5</w:t>
            </w:r>
          </w:p>
        </w:tc>
        <w:tc>
          <w:tcPr>
            <w:tcW w:w="0" w:type="auto"/>
            <w:shd w:val="clear"/>
            <w:tcMar>
              <w:top w:w="15" w:type="dxa"/>
              <w:left w:w="15" w:type="dxa"/>
              <w:bottom w:w="15" w:type="dxa"/>
              <w:right w:w="15" w:type="dxa"/>
            </w:tcMar>
            <w:vAlign w:val="center"/>
          </w:tcPr>
          <w:p w14:paraId="5CF19F9C">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Administrative Costs and Compliance</w:t>
            </w:r>
          </w:p>
        </w:tc>
        <w:tc>
          <w:tcPr>
            <w:tcW w:w="0" w:type="auto"/>
            <w:shd w:val="clear"/>
            <w:tcMar>
              <w:top w:w="15" w:type="dxa"/>
              <w:left w:w="15" w:type="dxa"/>
              <w:bottom w:w="15" w:type="dxa"/>
              <w:right w:w="15" w:type="dxa"/>
            </w:tcMar>
            <w:vAlign w:val="center"/>
          </w:tcPr>
          <w:p w14:paraId="2CBAFAAE">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$26,608.80</w:t>
            </w:r>
          </w:p>
        </w:tc>
      </w:tr>
      <w:tr w14:paraId="321AB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6775FCF8">
            <w:pPr>
              <w:rPr>
                <w:rFonts w:hint="eastAsia" w:ascii="Calibri" w:hAnsi="Calibri" w:cs="Times New Roman"/>
                <w:kern w:val="2"/>
                <w:sz w:val="22"/>
                <w:szCs w:val="22"/>
                <w:lang w:eastAsia="en-US"/>
              </w:rPr>
            </w:pPr>
          </w:p>
        </w:tc>
        <w:tc>
          <w:tcPr>
            <w:tcW w:w="0" w:type="auto"/>
            <w:shd w:val="clear"/>
            <w:tcMar>
              <w:top w:w="15" w:type="dxa"/>
              <w:left w:w="15" w:type="dxa"/>
              <w:bottom w:w="15" w:type="dxa"/>
              <w:right w:w="15" w:type="dxa"/>
            </w:tcMar>
            <w:vAlign w:val="center"/>
          </w:tcPr>
          <w:p w14:paraId="4BDEEFE7">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TOTAL WASH BUDGET</w:t>
            </w:r>
          </w:p>
        </w:tc>
        <w:tc>
          <w:tcPr>
            <w:tcW w:w="0" w:type="auto"/>
            <w:shd w:val="clear"/>
            <w:tcMar>
              <w:top w:w="15" w:type="dxa"/>
              <w:left w:w="15" w:type="dxa"/>
              <w:bottom w:w="15" w:type="dxa"/>
              <w:right w:w="15" w:type="dxa"/>
            </w:tcMar>
            <w:vAlign w:val="center"/>
          </w:tcPr>
          <w:p w14:paraId="70D50B30">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$123,368.07</w:t>
            </w:r>
          </w:p>
        </w:tc>
      </w:tr>
    </w:tbl>
    <w:p w14:paraId="302D68E0">
      <w:pPr>
        <w:keepNext w:val="0"/>
        <w:keepLines w:val="0"/>
        <w:widowControl/>
        <w:suppressLineNumbers w:val="0"/>
        <w:spacing w:before="0" w:beforeAutospacing="0" w:after="160" w:afterAutospacing="0" w:line="256" w:lineRule="auto"/>
        <w:ind w:left="0" w:right="0"/>
        <w:jc w:val="center"/>
      </w:pPr>
      <w:r>
        <w:rPr>
          <w:sz w:val="24"/>
          <w:szCs w:val="24"/>
        </w:rPr>
        <w:pict>
          <v:rect id="_x0000_i1039" o:spt="1" style="height:1.5pt;width:451.3pt;" fillcolor="#A0A0A0" filled="t" stroked="f" coordsize="21600,21600" o:hr="t" o:hrstd="t" o:hralign="center">
            <v:path/>
            <v:fill on="t" focussize="0,0"/>
            <v:stroke on="f"/>
            <v:imagedata o:title=""/>
            <o:lock v:ext="edit"/>
            <w10:wrap type="none"/>
            <w10:anchorlock/>
          </v:rect>
        </w:pict>
      </w:r>
    </w:p>
    <w:p w14:paraId="65E58167">
      <w:pPr>
        <w:keepNext w:val="0"/>
        <w:keepLines w:val="0"/>
        <w:widowControl/>
        <w:suppressLineNumbers w:val="0"/>
        <w:spacing w:before="0" w:beforeAutospacing="0" w:after="160" w:afterAutospacing="0" w:line="256" w:lineRule="auto"/>
        <w:ind w:left="0" w:right="0"/>
        <w:jc w:val="left"/>
        <w:rPr>
          <w:b/>
          <w:bCs/>
          <w:lang w:val="en-US"/>
        </w:rPr>
      </w:pPr>
      <w:r>
        <w:rPr>
          <w:rFonts w:hint="eastAsia" w:ascii="Calibri" w:hAnsi="Calibri" w:eastAsia="Calibri" w:cs="Times New Roman"/>
          <w:b/>
          <w:bCs/>
          <w:kern w:val="2"/>
          <w:sz w:val="22"/>
          <w:szCs w:val="22"/>
          <w:lang w:val="en-US" w:eastAsia="zh-CN" w:bidi="ar"/>
          <w14:ligatures w14:val="standardContextual"/>
        </w:rPr>
        <w:t>2. EDUCATE THE CHILD PROJECT (ECP) BUDGET</w:t>
      </w:r>
    </w:p>
    <w:p w14:paraId="2EDAD765">
      <w:pPr>
        <w:keepNext w:val="0"/>
        <w:keepLines w:val="0"/>
        <w:widowControl/>
        <w:suppressLineNumbers w:val="0"/>
        <w:spacing w:before="0" w:beforeAutospacing="0" w:after="160" w:afterAutospacing="0" w:line="256" w:lineRule="auto"/>
        <w:ind w:left="0" w:right="0"/>
        <w:jc w:val="left"/>
        <w:rPr>
          <w:lang w:val="en-US"/>
        </w:rPr>
      </w:pPr>
      <w:r>
        <w:rPr>
          <w:rFonts w:hint="eastAsia" w:ascii="Calibri" w:hAnsi="Calibri" w:eastAsia="Calibri" w:cs="Times New Roman"/>
          <w:kern w:val="2"/>
          <w:sz w:val="22"/>
          <w:szCs w:val="22"/>
          <w:lang w:val="en-US" w:eastAsia="zh-CN" w:bidi="ar"/>
          <w14:ligatures w14:val="standardContextual"/>
        </w:rPr>
        <w:t>Key Components:</w:t>
      </w:r>
    </w:p>
    <w:p w14:paraId="2234E448">
      <w:pPr>
        <w:keepNext w:val="0"/>
        <w:keepLines w:val="0"/>
        <w:widowControl/>
        <w:numPr>
          <w:ilvl w:val="0"/>
          <w:numId w:val="3"/>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Construction of Six Classroom Blocks </w:t>
      </w:r>
    </w:p>
    <w:p w14:paraId="278DFD78">
      <w:pPr>
        <w:keepNext w:val="0"/>
        <w:keepLines w:val="0"/>
        <w:widowControl/>
        <w:numPr>
          <w:ilvl w:val="0"/>
          <w:numId w:val="3"/>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Multipurpose Hall Construction </w:t>
      </w:r>
    </w:p>
    <w:p w14:paraId="0849EB60">
      <w:pPr>
        <w:keepNext w:val="0"/>
        <w:keepLines w:val="0"/>
        <w:widowControl/>
        <w:numPr>
          <w:ilvl w:val="0"/>
          <w:numId w:val="3"/>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Electrical and Plumbing Installations </w:t>
      </w:r>
    </w:p>
    <w:p w14:paraId="22F53B44">
      <w:pPr>
        <w:keepNext w:val="0"/>
        <w:keepLines w:val="0"/>
        <w:widowControl/>
        <w:numPr>
          <w:ilvl w:val="0"/>
          <w:numId w:val="3"/>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Roofing and Finishing Works </w:t>
      </w:r>
    </w:p>
    <w:p w14:paraId="65C10FC5">
      <w:pPr>
        <w:keepNext w:val="0"/>
        <w:keepLines w:val="0"/>
        <w:widowControl/>
        <w:numPr>
          <w:ilvl w:val="0"/>
          <w:numId w:val="3"/>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Educational Infrastructure Development </w:t>
      </w:r>
    </w:p>
    <w:tbl>
      <w:tblPr>
        <w:tblStyle w:val="12"/>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19"/>
        <w:gridCol w:w="3568"/>
        <w:gridCol w:w="1411"/>
      </w:tblGrid>
      <w:tr w14:paraId="239BF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blHeader/>
          <w:tblCellSpacing w:w="15" w:type="dxa"/>
        </w:trPr>
        <w:tc>
          <w:tcPr>
            <w:tcW w:w="0" w:type="auto"/>
            <w:shd w:val="clear"/>
            <w:tcMar>
              <w:top w:w="15" w:type="dxa"/>
              <w:left w:w="15" w:type="dxa"/>
              <w:bottom w:w="15" w:type="dxa"/>
              <w:right w:w="15" w:type="dxa"/>
            </w:tcMar>
            <w:vAlign w:val="center"/>
          </w:tcPr>
          <w:p w14:paraId="3F5DA365">
            <w:pPr>
              <w:keepNext w:val="0"/>
              <w:keepLines w:val="0"/>
              <w:widowControl/>
              <w:suppressLineNumbers w:val="0"/>
              <w:spacing w:before="0" w:beforeAutospacing="0" w:after="160" w:afterAutospacing="0" w:line="256" w:lineRule="auto"/>
              <w:ind w:left="0" w:right="0"/>
              <w:jc w:val="left"/>
              <w:rPr>
                <w:b/>
                <w:bCs/>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S/N</w:t>
            </w:r>
          </w:p>
        </w:tc>
        <w:tc>
          <w:tcPr>
            <w:tcW w:w="0" w:type="auto"/>
            <w:shd w:val="clear"/>
            <w:tcMar>
              <w:top w:w="15" w:type="dxa"/>
              <w:left w:w="15" w:type="dxa"/>
              <w:bottom w:w="15" w:type="dxa"/>
              <w:right w:w="15" w:type="dxa"/>
            </w:tcMar>
            <w:vAlign w:val="center"/>
          </w:tcPr>
          <w:p w14:paraId="7E6AD11A">
            <w:pPr>
              <w:keepNext w:val="0"/>
              <w:keepLines w:val="0"/>
              <w:widowControl/>
              <w:suppressLineNumbers w:val="0"/>
              <w:spacing w:before="0" w:beforeAutospacing="0" w:after="160" w:afterAutospacing="0" w:line="256" w:lineRule="auto"/>
              <w:ind w:left="0" w:right="0"/>
              <w:jc w:val="left"/>
              <w:rPr>
                <w:b/>
                <w:bCs/>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ECP ACTIVITIES</w:t>
            </w:r>
          </w:p>
        </w:tc>
        <w:tc>
          <w:tcPr>
            <w:tcW w:w="0" w:type="auto"/>
            <w:shd w:val="clear"/>
            <w:tcMar>
              <w:top w:w="15" w:type="dxa"/>
              <w:left w:w="15" w:type="dxa"/>
              <w:bottom w:w="15" w:type="dxa"/>
              <w:right w:w="15" w:type="dxa"/>
            </w:tcMar>
            <w:vAlign w:val="center"/>
          </w:tcPr>
          <w:p w14:paraId="6A8AD5B0">
            <w:pPr>
              <w:keepNext w:val="0"/>
              <w:keepLines w:val="0"/>
              <w:widowControl/>
              <w:suppressLineNumbers w:val="0"/>
              <w:spacing w:before="0" w:beforeAutospacing="0" w:after="160" w:afterAutospacing="0" w:line="256" w:lineRule="auto"/>
              <w:ind w:left="0" w:right="0"/>
              <w:jc w:val="left"/>
              <w:rPr>
                <w:b/>
                <w:bCs/>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BUDGET (USD)</w:t>
            </w:r>
          </w:p>
        </w:tc>
      </w:tr>
      <w:tr w14:paraId="60B4C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04B78991">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1</w:t>
            </w:r>
          </w:p>
        </w:tc>
        <w:tc>
          <w:tcPr>
            <w:tcW w:w="0" w:type="auto"/>
            <w:shd w:val="clear"/>
            <w:tcMar>
              <w:top w:w="15" w:type="dxa"/>
              <w:left w:w="15" w:type="dxa"/>
              <w:bottom w:w="15" w:type="dxa"/>
              <w:right w:w="15" w:type="dxa"/>
            </w:tcMar>
            <w:vAlign w:val="center"/>
          </w:tcPr>
          <w:p w14:paraId="2879B435">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Substructure and Foundation Works</w:t>
            </w:r>
          </w:p>
        </w:tc>
        <w:tc>
          <w:tcPr>
            <w:tcW w:w="0" w:type="auto"/>
            <w:shd w:val="clear"/>
            <w:tcMar>
              <w:top w:w="15" w:type="dxa"/>
              <w:left w:w="15" w:type="dxa"/>
              <w:bottom w:w="15" w:type="dxa"/>
              <w:right w:w="15" w:type="dxa"/>
            </w:tcMar>
            <w:vAlign w:val="center"/>
          </w:tcPr>
          <w:p w14:paraId="7B4261F7">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$38,195.55</w:t>
            </w:r>
          </w:p>
        </w:tc>
      </w:tr>
      <w:tr w14:paraId="06B49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7916DA41">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2</w:t>
            </w:r>
          </w:p>
        </w:tc>
        <w:tc>
          <w:tcPr>
            <w:tcW w:w="0" w:type="auto"/>
            <w:shd w:val="clear"/>
            <w:tcMar>
              <w:top w:w="15" w:type="dxa"/>
              <w:left w:w="15" w:type="dxa"/>
              <w:bottom w:w="15" w:type="dxa"/>
              <w:right w:w="15" w:type="dxa"/>
            </w:tcMar>
            <w:vAlign w:val="center"/>
          </w:tcPr>
          <w:p w14:paraId="161D95B0">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Framework and Concrete Works</w:t>
            </w:r>
          </w:p>
        </w:tc>
        <w:tc>
          <w:tcPr>
            <w:tcW w:w="0" w:type="auto"/>
            <w:shd w:val="clear"/>
            <w:tcMar>
              <w:top w:w="15" w:type="dxa"/>
              <w:left w:w="15" w:type="dxa"/>
              <w:bottom w:w="15" w:type="dxa"/>
              <w:right w:w="15" w:type="dxa"/>
            </w:tcMar>
            <w:vAlign w:val="center"/>
          </w:tcPr>
          <w:p w14:paraId="5B3E607E">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$18,857.15</w:t>
            </w:r>
          </w:p>
        </w:tc>
      </w:tr>
      <w:tr w14:paraId="7EC3C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7DA997BF">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3</w:t>
            </w:r>
          </w:p>
        </w:tc>
        <w:tc>
          <w:tcPr>
            <w:tcW w:w="0" w:type="auto"/>
            <w:shd w:val="clear"/>
            <w:tcMar>
              <w:top w:w="15" w:type="dxa"/>
              <w:left w:w="15" w:type="dxa"/>
              <w:bottom w:w="15" w:type="dxa"/>
              <w:right w:w="15" w:type="dxa"/>
            </w:tcMar>
            <w:vAlign w:val="center"/>
          </w:tcPr>
          <w:p w14:paraId="01AD2412">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Roofing Installation</w:t>
            </w:r>
          </w:p>
        </w:tc>
        <w:tc>
          <w:tcPr>
            <w:tcW w:w="0" w:type="auto"/>
            <w:shd w:val="clear"/>
            <w:tcMar>
              <w:top w:w="15" w:type="dxa"/>
              <w:left w:w="15" w:type="dxa"/>
              <w:bottom w:w="15" w:type="dxa"/>
              <w:right w:w="15" w:type="dxa"/>
            </w:tcMar>
            <w:vAlign w:val="center"/>
          </w:tcPr>
          <w:p w14:paraId="0E40FC4A">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$15,821.54</w:t>
            </w:r>
          </w:p>
        </w:tc>
      </w:tr>
      <w:tr w14:paraId="5B3A3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6DAD4724">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4</w:t>
            </w:r>
          </w:p>
        </w:tc>
        <w:tc>
          <w:tcPr>
            <w:tcW w:w="0" w:type="auto"/>
            <w:shd w:val="clear"/>
            <w:tcMar>
              <w:top w:w="15" w:type="dxa"/>
              <w:left w:w="15" w:type="dxa"/>
              <w:bottom w:w="15" w:type="dxa"/>
              <w:right w:w="15" w:type="dxa"/>
            </w:tcMar>
            <w:vAlign w:val="center"/>
          </w:tcPr>
          <w:p w14:paraId="740F90FA">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Internal and External Wall Construction</w:t>
            </w:r>
          </w:p>
        </w:tc>
        <w:tc>
          <w:tcPr>
            <w:tcW w:w="0" w:type="auto"/>
            <w:shd w:val="clear"/>
            <w:tcMar>
              <w:top w:w="15" w:type="dxa"/>
              <w:left w:w="15" w:type="dxa"/>
              <w:bottom w:w="15" w:type="dxa"/>
              <w:right w:w="15" w:type="dxa"/>
            </w:tcMar>
            <w:vAlign w:val="center"/>
          </w:tcPr>
          <w:p w14:paraId="6C4F5C2B">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$13,779.69</w:t>
            </w:r>
          </w:p>
        </w:tc>
      </w:tr>
      <w:tr w14:paraId="1C08E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6D483BAC">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5</w:t>
            </w:r>
          </w:p>
        </w:tc>
        <w:tc>
          <w:tcPr>
            <w:tcW w:w="0" w:type="auto"/>
            <w:shd w:val="clear"/>
            <w:tcMar>
              <w:top w:w="15" w:type="dxa"/>
              <w:left w:w="15" w:type="dxa"/>
              <w:bottom w:w="15" w:type="dxa"/>
              <w:right w:w="15" w:type="dxa"/>
            </w:tcMar>
            <w:vAlign w:val="center"/>
          </w:tcPr>
          <w:p w14:paraId="7AE60187">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Joinery and Fittings</w:t>
            </w:r>
          </w:p>
        </w:tc>
        <w:tc>
          <w:tcPr>
            <w:tcW w:w="0" w:type="auto"/>
            <w:shd w:val="clear"/>
            <w:tcMar>
              <w:top w:w="15" w:type="dxa"/>
              <w:left w:w="15" w:type="dxa"/>
              <w:bottom w:w="15" w:type="dxa"/>
              <w:right w:w="15" w:type="dxa"/>
            </w:tcMar>
            <w:vAlign w:val="center"/>
          </w:tcPr>
          <w:p w14:paraId="3BE216A8">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$5,708.91</w:t>
            </w:r>
          </w:p>
        </w:tc>
      </w:tr>
      <w:tr w14:paraId="04523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3365DB26">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6</w:t>
            </w:r>
          </w:p>
        </w:tc>
        <w:tc>
          <w:tcPr>
            <w:tcW w:w="0" w:type="auto"/>
            <w:shd w:val="clear"/>
            <w:tcMar>
              <w:top w:w="15" w:type="dxa"/>
              <w:left w:w="15" w:type="dxa"/>
              <w:bottom w:w="15" w:type="dxa"/>
              <w:right w:w="15" w:type="dxa"/>
            </w:tcMar>
            <w:vAlign w:val="center"/>
          </w:tcPr>
          <w:p w14:paraId="6548E9EF">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Plumbing Installation</w:t>
            </w:r>
          </w:p>
        </w:tc>
        <w:tc>
          <w:tcPr>
            <w:tcW w:w="0" w:type="auto"/>
            <w:shd w:val="clear"/>
            <w:tcMar>
              <w:top w:w="15" w:type="dxa"/>
              <w:left w:w="15" w:type="dxa"/>
              <w:bottom w:w="15" w:type="dxa"/>
              <w:right w:w="15" w:type="dxa"/>
            </w:tcMar>
            <w:vAlign w:val="center"/>
          </w:tcPr>
          <w:p w14:paraId="1A26C434">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$5,366.71</w:t>
            </w:r>
          </w:p>
        </w:tc>
      </w:tr>
      <w:tr w14:paraId="050F7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2D95E1B8">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7</w:t>
            </w:r>
          </w:p>
        </w:tc>
        <w:tc>
          <w:tcPr>
            <w:tcW w:w="0" w:type="auto"/>
            <w:shd w:val="clear"/>
            <w:tcMar>
              <w:top w:w="15" w:type="dxa"/>
              <w:left w:w="15" w:type="dxa"/>
              <w:bottom w:w="15" w:type="dxa"/>
              <w:right w:w="15" w:type="dxa"/>
            </w:tcMar>
            <w:vAlign w:val="center"/>
          </w:tcPr>
          <w:p w14:paraId="5B74C620">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Aluminium and Metal Works</w:t>
            </w:r>
          </w:p>
        </w:tc>
        <w:tc>
          <w:tcPr>
            <w:tcW w:w="0" w:type="auto"/>
            <w:shd w:val="clear"/>
            <w:tcMar>
              <w:top w:w="15" w:type="dxa"/>
              <w:left w:w="15" w:type="dxa"/>
              <w:bottom w:w="15" w:type="dxa"/>
              <w:right w:w="15" w:type="dxa"/>
            </w:tcMar>
            <w:vAlign w:val="center"/>
          </w:tcPr>
          <w:p w14:paraId="0C1F1CE1">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$5,951.76</w:t>
            </w:r>
          </w:p>
        </w:tc>
      </w:tr>
      <w:tr w14:paraId="4B870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2A22BE96">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8</w:t>
            </w:r>
          </w:p>
        </w:tc>
        <w:tc>
          <w:tcPr>
            <w:tcW w:w="0" w:type="auto"/>
            <w:shd w:val="clear"/>
            <w:tcMar>
              <w:top w:w="15" w:type="dxa"/>
              <w:left w:w="15" w:type="dxa"/>
              <w:bottom w:w="15" w:type="dxa"/>
              <w:right w:w="15" w:type="dxa"/>
            </w:tcMar>
            <w:vAlign w:val="center"/>
          </w:tcPr>
          <w:p w14:paraId="61727397">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Electrical Installation</w:t>
            </w:r>
          </w:p>
        </w:tc>
        <w:tc>
          <w:tcPr>
            <w:tcW w:w="0" w:type="auto"/>
            <w:shd w:val="clear"/>
            <w:tcMar>
              <w:top w:w="15" w:type="dxa"/>
              <w:left w:w="15" w:type="dxa"/>
              <w:bottom w:w="15" w:type="dxa"/>
              <w:right w:w="15" w:type="dxa"/>
            </w:tcMar>
            <w:vAlign w:val="center"/>
          </w:tcPr>
          <w:p w14:paraId="0A4DD277">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$16,709.36</w:t>
            </w:r>
          </w:p>
        </w:tc>
      </w:tr>
      <w:tr w14:paraId="16FA6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44FD1A50">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9</w:t>
            </w:r>
          </w:p>
        </w:tc>
        <w:tc>
          <w:tcPr>
            <w:tcW w:w="0" w:type="auto"/>
            <w:shd w:val="clear"/>
            <w:tcMar>
              <w:top w:w="15" w:type="dxa"/>
              <w:left w:w="15" w:type="dxa"/>
              <w:bottom w:w="15" w:type="dxa"/>
              <w:right w:w="15" w:type="dxa"/>
            </w:tcMar>
            <w:vAlign w:val="center"/>
          </w:tcPr>
          <w:p w14:paraId="7B8CAB1B">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Finishings</w:t>
            </w:r>
          </w:p>
        </w:tc>
        <w:tc>
          <w:tcPr>
            <w:tcW w:w="0" w:type="auto"/>
            <w:shd w:val="clear"/>
            <w:tcMar>
              <w:top w:w="15" w:type="dxa"/>
              <w:left w:w="15" w:type="dxa"/>
              <w:bottom w:w="15" w:type="dxa"/>
              <w:right w:w="15" w:type="dxa"/>
            </w:tcMar>
            <w:vAlign w:val="center"/>
          </w:tcPr>
          <w:p w14:paraId="413B8575">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$33,605.62</w:t>
            </w:r>
          </w:p>
        </w:tc>
      </w:tr>
      <w:tr w14:paraId="5AC70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066F4DE6">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10</w:t>
            </w:r>
          </w:p>
        </w:tc>
        <w:tc>
          <w:tcPr>
            <w:tcW w:w="0" w:type="auto"/>
            <w:shd w:val="clear"/>
            <w:tcMar>
              <w:top w:w="15" w:type="dxa"/>
              <w:left w:w="15" w:type="dxa"/>
              <w:bottom w:w="15" w:type="dxa"/>
              <w:right w:w="15" w:type="dxa"/>
            </w:tcMar>
            <w:vAlign w:val="center"/>
          </w:tcPr>
          <w:p w14:paraId="4079A3F7">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Painting and Decoration</w:t>
            </w:r>
          </w:p>
        </w:tc>
        <w:tc>
          <w:tcPr>
            <w:tcW w:w="0" w:type="auto"/>
            <w:shd w:val="clear"/>
            <w:tcMar>
              <w:top w:w="15" w:type="dxa"/>
              <w:left w:w="15" w:type="dxa"/>
              <w:bottom w:w="15" w:type="dxa"/>
              <w:right w:w="15" w:type="dxa"/>
            </w:tcMar>
            <w:vAlign w:val="center"/>
          </w:tcPr>
          <w:p w14:paraId="1D51B114">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$2,618.70</w:t>
            </w:r>
          </w:p>
        </w:tc>
      </w:tr>
      <w:tr w14:paraId="1737B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1F01B42F">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11</w:t>
            </w:r>
          </w:p>
        </w:tc>
        <w:tc>
          <w:tcPr>
            <w:tcW w:w="0" w:type="auto"/>
            <w:shd w:val="clear"/>
            <w:tcMar>
              <w:top w:w="15" w:type="dxa"/>
              <w:left w:w="15" w:type="dxa"/>
              <w:bottom w:w="15" w:type="dxa"/>
              <w:right w:w="15" w:type="dxa"/>
            </w:tcMar>
            <w:vAlign w:val="center"/>
          </w:tcPr>
          <w:p w14:paraId="7D5D3297">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Administrative Charges and Taxes</w:t>
            </w:r>
          </w:p>
        </w:tc>
        <w:tc>
          <w:tcPr>
            <w:tcW w:w="0" w:type="auto"/>
            <w:shd w:val="clear"/>
            <w:tcMar>
              <w:top w:w="15" w:type="dxa"/>
              <w:left w:w="15" w:type="dxa"/>
              <w:bottom w:w="15" w:type="dxa"/>
              <w:right w:w="15" w:type="dxa"/>
            </w:tcMar>
            <w:vAlign w:val="center"/>
          </w:tcPr>
          <w:p w14:paraId="7E61E29E">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$11,745.00</w:t>
            </w:r>
          </w:p>
        </w:tc>
      </w:tr>
      <w:tr w14:paraId="5FC4B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7E2B9AD3">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12</w:t>
            </w:r>
          </w:p>
        </w:tc>
        <w:tc>
          <w:tcPr>
            <w:tcW w:w="0" w:type="auto"/>
            <w:shd w:val="clear"/>
            <w:tcMar>
              <w:top w:w="15" w:type="dxa"/>
              <w:left w:w="15" w:type="dxa"/>
              <w:bottom w:w="15" w:type="dxa"/>
              <w:right w:w="15" w:type="dxa"/>
            </w:tcMar>
            <w:vAlign w:val="center"/>
          </w:tcPr>
          <w:p w14:paraId="3CF592E8">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Toyota Hilux for Project Operations</w:t>
            </w:r>
          </w:p>
        </w:tc>
        <w:tc>
          <w:tcPr>
            <w:tcW w:w="0" w:type="auto"/>
            <w:shd w:val="clear"/>
            <w:tcMar>
              <w:top w:w="15" w:type="dxa"/>
              <w:left w:w="15" w:type="dxa"/>
              <w:bottom w:w="15" w:type="dxa"/>
              <w:right w:w="15" w:type="dxa"/>
            </w:tcMar>
            <w:vAlign w:val="center"/>
          </w:tcPr>
          <w:p w14:paraId="433C3577">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$41,772.30</w:t>
            </w:r>
          </w:p>
        </w:tc>
      </w:tr>
      <w:tr w14:paraId="0463C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79E05F70">
            <w:pPr>
              <w:rPr>
                <w:rFonts w:hint="eastAsia" w:ascii="Calibri" w:hAnsi="Calibri" w:cs="Times New Roman"/>
                <w:kern w:val="2"/>
                <w:sz w:val="22"/>
                <w:szCs w:val="22"/>
                <w:lang w:eastAsia="en-US"/>
              </w:rPr>
            </w:pPr>
          </w:p>
        </w:tc>
        <w:tc>
          <w:tcPr>
            <w:tcW w:w="0" w:type="auto"/>
            <w:shd w:val="clear"/>
            <w:tcMar>
              <w:top w:w="15" w:type="dxa"/>
              <w:left w:w="15" w:type="dxa"/>
              <w:bottom w:w="15" w:type="dxa"/>
              <w:right w:w="15" w:type="dxa"/>
            </w:tcMar>
            <w:vAlign w:val="center"/>
          </w:tcPr>
          <w:p w14:paraId="15014800">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TOTAL ECP BUDGET</w:t>
            </w:r>
          </w:p>
        </w:tc>
        <w:tc>
          <w:tcPr>
            <w:tcW w:w="0" w:type="auto"/>
            <w:shd w:val="clear"/>
            <w:tcMar>
              <w:top w:w="15" w:type="dxa"/>
              <w:left w:w="15" w:type="dxa"/>
              <w:bottom w:w="15" w:type="dxa"/>
              <w:right w:w="15" w:type="dxa"/>
            </w:tcMar>
            <w:vAlign w:val="center"/>
          </w:tcPr>
          <w:p w14:paraId="4180766D">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$210,132.29</w:t>
            </w:r>
          </w:p>
        </w:tc>
      </w:tr>
    </w:tbl>
    <w:p w14:paraId="6C9E392A">
      <w:pPr>
        <w:keepNext w:val="0"/>
        <w:keepLines w:val="0"/>
        <w:widowControl/>
        <w:suppressLineNumbers w:val="0"/>
        <w:spacing w:before="0" w:beforeAutospacing="0" w:after="160" w:afterAutospacing="0" w:line="256" w:lineRule="auto"/>
        <w:ind w:left="0" w:right="0"/>
        <w:jc w:val="center"/>
      </w:pPr>
      <w:r>
        <w:rPr>
          <w:sz w:val="24"/>
          <w:szCs w:val="24"/>
        </w:rPr>
        <w:pict>
          <v:rect id="_x0000_i1040" o:spt="1" style="height:1.5pt;width:451.3pt;" fillcolor="#A0A0A0" filled="t" stroked="f" coordsize="21600,21600" o:hr="t" o:hrstd="t" o:hralign="center">
            <v:path/>
            <v:fill on="t" focussize="0,0"/>
            <v:stroke on="f"/>
            <v:imagedata o:title=""/>
            <o:lock v:ext="edit"/>
            <w10:wrap type="none"/>
            <w10:anchorlock/>
          </v:rect>
        </w:pict>
      </w:r>
    </w:p>
    <w:p w14:paraId="3D18A7A8">
      <w:pPr>
        <w:keepNext w:val="0"/>
        <w:keepLines w:val="0"/>
        <w:widowControl/>
        <w:suppressLineNumbers w:val="0"/>
        <w:spacing w:before="0" w:beforeAutospacing="0" w:after="160" w:afterAutospacing="0" w:line="256" w:lineRule="auto"/>
        <w:ind w:left="0" w:right="0"/>
        <w:jc w:val="left"/>
        <w:rPr>
          <w:b/>
          <w:bCs/>
          <w:lang w:val="en-US"/>
        </w:rPr>
      </w:pPr>
      <w:r>
        <w:rPr>
          <w:rFonts w:hint="eastAsia" w:ascii="Calibri" w:hAnsi="Calibri" w:eastAsia="Calibri" w:cs="Times New Roman"/>
          <w:b/>
          <w:bCs/>
          <w:kern w:val="2"/>
          <w:sz w:val="22"/>
          <w:szCs w:val="22"/>
          <w:lang w:val="en-US" w:eastAsia="zh-CN" w:bidi="ar"/>
          <w14:ligatures w14:val="standardContextual"/>
        </w:rPr>
        <w:t>CONSOLIDATED 2026 FOUNDATION BUDGET</w:t>
      </w:r>
    </w:p>
    <w:tbl>
      <w:tblPr>
        <w:tblStyle w:val="12"/>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19"/>
        <w:gridCol w:w="2386"/>
        <w:gridCol w:w="1520"/>
      </w:tblGrid>
      <w:tr w14:paraId="244D3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blHeader/>
          <w:tblCellSpacing w:w="15" w:type="dxa"/>
        </w:trPr>
        <w:tc>
          <w:tcPr>
            <w:tcW w:w="0" w:type="auto"/>
            <w:shd w:val="clear"/>
            <w:tcMar>
              <w:top w:w="15" w:type="dxa"/>
              <w:left w:w="15" w:type="dxa"/>
              <w:bottom w:w="15" w:type="dxa"/>
              <w:right w:w="15" w:type="dxa"/>
            </w:tcMar>
            <w:vAlign w:val="center"/>
          </w:tcPr>
          <w:p w14:paraId="5D8F676A">
            <w:pPr>
              <w:keepNext w:val="0"/>
              <w:keepLines w:val="0"/>
              <w:widowControl/>
              <w:suppressLineNumbers w:val="0"/>
              <w:spacing w:before="0" w:beforeAutospacing="0" w:after="160" w:afterAutospacing="0" w:line="256" w:lineRule="auto"/>
              <w:ind w:left="0" w:right="0"/>
              <w:jc w:val="left"/>
              <w:rPr>
                <w:b/>
                <w:bCs/>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S/N</w:t>
            </w:r>
          </w:p>
        </w:tc>
        <w:tc>
          <w:tcPr>
            <w:tcW w:w="0" w:type="auto"/>
            <w:shd w:val="clear"/>
            <w:tcMar>
              <w:top w:w="15" w:type="dxa"/>
              <w:left w:w="15" w:type="dxa"/>
              <w:bottom w:w="15" w:type="dxa"/>
              <w:right w:w="15" w:type="dxa"/>
            </w:tcMar>
            <w:vAlign w:val="center"/>
          </w:tcPr>
          <w:p w14:paraId="5838E60B">
            <w:pPr>
              <w:keepNext w:val="0"/>
              <w:keepLines w:val="0"/>
              <w:widowControl/>
              <w:suppressLineNumbers w:val="0"/>
              <w:spacing w:before="0" w:beforeAutospacing="0" w:after="160" w:afterAutospacing="0" w:line="256" w:lineRule="auto"/>
              <w:ind w:left="0" w:right="0"/>
              <w:jc w:val="left"/>
              <w:rPr>
                <w:b/>
                <w:bCs/>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BUDGET CATEGORY</w:t>
            </w:r>
          </w:p>
        </w:tc>
        <w:tc>
          <w:tcPr>
            <w:tcW w:w="0" w:type="auto"/>
            <w:shd w:val="clear"/>
            <w:tcMar>
              <w:top w:w="15" w:type="dxa"/>
              <w:left w:w="15" w:type="dxa"/>
              <w:bottom w:w="15" w:type="dxa"/>
              <w:right w:w="15" w:type="dxa"/>
            </w:tcMar>
            <w:vAlign w:val="center"/>
          </w:tcPr>
          <w:p w14:paraId="5F6A4769">
            <w:pPr>
              <w:keepNext w:val="0"/>
              <w:keepLines w:val="0"/>
              <w:widowControl/>
              <w:suppressLineNumbers w:val="0"/>
              <w:spacing w:before="0" w:beforeAutospacing="0" w:after="160" w:afterAutospacing="0" w:line="256" w:lineRule="auto"/>
              <w:ind w:left="0" w:right="0"/>
              <w:jc w:val="left"/>
              <w:rPr>
                <w:b/>
                <w:bCs/>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AMOUNT (USD)</w:t>
            </w:r>
          </w:p>
        </w:tc>
      </w:tr>
      <w:tr w14:paraId="3BA14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226C2698">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1</w:t>
            </w:r>
          </w:p>
        </w:tc>
        <w:tc>
          <w:tcPr>
            <w:tcW w:w="0" w:type="auto"/>
            <w:shd w:val="clear"/>
            <w:tcMar>
              <w:top w:w="15" w:type="dxa"/>
              <w:left w:w="15" w:type="dxa"/>
              <w:bottom w:w="15" w:type="dxa"/>
              <w:right w:w="15" w:type="dxa"/>
            </w:tcMar>
            <w:vAlign w:val="center"/>
          </w:tcPr>
          <w:p w14:paraId="5ED2B3E8">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WASH Programmes</w:t>
            </w:r>
          </w:p>
        </w:tc>
        <w:tc>
          <w:tcPr>
            <w:tcW w:w="0" w:type="auto"/>
            <w:shd w:val="clear"/>
            <w:tcMar>
              <w:top w:w="15" w:type="dxa"/>
              <w:left w:w="15" w:type="dxa"/>
              <w:bottom w:w="15" w:type="dxa"/>
              <w:right w:w="15" w:type="dxa"/>
            </w:tcMar>
            <w:vAlign w:val="center"/>
          </w:tcPr>
          <w:p w14:paraId="2049B0CF">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$123,368.07</w:t>
            </w:r>
          </w:p>
        </w:tc>
      </w:tr>
      <w:tr w14:paraId="2C00B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7D195868">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2</w:t>
            </w:r>
          </w:p>
        </w:tc>
        <w:tc>
          <w:tcPr>
            <w:tcW w:w="0" w:type="auto"/>
            <w:shd w:val="clear"/>
            <w:tcMar>
              <w:top w:w="15" w:type="dxa"/>
              <w:left w:w="15" w:type="dxa"/>
              <w:bottom w:w="15" w:type="dxa"/>
              <w:right w:w="15" w:type="dxa"/>
            </w:tcMar>
            <w:vAlign w:val="center"/>
          </w:tcPr>
          <w:p w14:paraId="638B1189">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Educate the Child Projects</w:t>
            </w:r>
          </w:p>
        </w:tc>
        <w:tc>
          <w:tcPr>
            <w:tcW w:w="0" w:type="auto"/>
            <w:shd w:val="clear"/>
            <w:tcMar>
              <w:top w:w="15" w:type="dxa"/>
              <w:left w:w="15" w:type="dxa"/>
              <w:bottom w:w="15" w:type="dxa"/>
              <w:right w:w="15" w:type="dxa"/>
            </w:tcMar>
            <w:vAlign w:val="center"/>
          </w:tcPr>
          <w:p w14:paraId="6C45E33A">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kern w:val="2"/>
                <w:sz w:val="22"/>
                <w:szCs w:val="22"/>
                <w:bdr w:val="none" w:color="auto" w:sz="0" w:space="0"/>
                <w:lang w:val="en-US" w:eastAsia="zh-CN" w:bidi="ar"/>
                <w14:ligatures w14:val="standardContextual"/>
              </w:rPr>
              <w:t>$210,132.29</w:t>
            </w:r>
          </w:p>
        </w:tc>
      </w:tr>
      <w:tr w14:paraId="00E18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blCellSpacing w:w="15" w:type="dxa"/>
        </w:trPr>
        <w:tc>
          <w:tcPr>
            <w:tcW w:w="0" w:type="auto"/>
            <w:shd w:val="clear"/>
            <w:tcMar>
              <w:top w:w="15" w:type="dxa"/>
              <w:left w:w="15" w:type="dxa"/>
              <w:bottom w:w="15" w:type="dxa"/>
              <w:right w:w="15" w:type="dxa"/>
            </w:tcMar>
            <w:vAlign w:val="center"/>
          </w:tcPr>
          <w:p w14:paraId="2B9E67DC">
            <w:pPr>
              <w:rPr>
                <w:rFonts w:hint="eastAsia" w:ascii="Calibri" w:hAnsi="Calibri" w:cs="Times New Roman"/>
                <w:kern w:val="2"/>
                <w:sz w:val="22"/>
                <w:szCs w:val="22"/>
                <w:lang w:eastAsia="en-US"/>
              </w:rPr>
            </w:pPr>
          </w:p>
        </w:tc>
        <w:tc>
          <w:tcPr>
            <w:tcW w:w="0" w:type="auto"/>
            <w:shd w:val="clear"/>
            <w:tcMar>
              <w:top w:w="15" w:type="dxa"/>
              <w:left w:w="15" w:type="dxa"/>
              <w:bottom w:w="15" w:type="dxa"/>
              <w:right w:w="15" w:type="dxa"/>
            </w:tcMar>
            <w:vAlign w:val="center"/>
          </w:tcPr>
          <w:p w14:paraId="2310F5F7">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GRAND TOTAL</w:t>
            </w:r>
          </w:p>
        </w:tc>
        <w:tc>
          <w:tcPr>
            <w:tcW w:w="0" w:type="auto"/>
            <w:shd w:val="clear"/>
            <w:tcMar>
              <w:top w:w="15" w:type="dxa"/>
              <w:left w:w="15" w:type="dxa"/>
              <w:bottom w:w="15" w:type="dxa"/>
              <w:right w:w="15" w:type="dxa"/>
            </w:tcMar>
            <w:vAlign w:val="center"/>
          </w:tcPr>
          <w:p w14:paraId="05996A4B">
            <w:pPr>
              <w:keepNext w:val="0"/>
              <w:keepLines w:val="0"/>
              <w:widowControl/>
              <w:suppressLineNumbers w:val="0"/>
              <w:spacing w:before="0" w:beforeAutospacing="0" w:after="160" w:afterAutospacing="0" w:line="256" w:lineRule="auto"/>
              <w:ind w:left="0" w:right="0"/>
              <w:jc w:val="left"/>
              <w:rPr>
                <w:bdr w:val="none" w:color="auto" w:sz="0" w:space="0"/>
              </w:rPr>
            </w:pPr>
            <w:r>
              <w:rPr>
                <w:rFonts w:hint="eastAsia" w:ascii="Calibri" w:hAnsi="Calibri" w:eastAsia="Calibri" w:cs="Times New Roman"/>
                <w:b/>
                <w:bCs/>
                <w:kern w:val="2"/>
                <w:sz w:val="22"/>
                <w:szCs w:val="22"/>
                <w:bdr w:val="none" w:color="auto" w:sz="0" w:space="0"/>
                <w:lang w:val="en-US" w:eastAsia="zh-CN" w:bidi="ar"/>
                <w14:ligatures w14:val="standardContextual"/>
              </w:rPr>
              <w:t>$333,500.36</w:t>
            </w:r>
          </w:p>
        </w:tc>
      </w:tr>
    </w:tbl>
    <w:p w14:paraId="36148502">
      <w:pPr>
        <w:keepNext w:val="0"/>
        <w:keepLines w:val="0"/>
        <w:widowControl/>
        <w:suppressLineNumbers w:val="0"/>
        <w:spacing w:before="0" w:beforeAutospacing="0" w:after="160" w:afterAutospacing="0" w:line="256" w:lineRule="auto"/>
        <w:ind w:left="0" w:right="0"/>
        <w:jc w:val="center"/>
      </w:pPr>
      <w:r>
        <w:rPr>
          <w:sz w:val="24"/>
          <w:szCs w:val="24"/>
        </w:rPr>
        <w:pict>
          <v:rect id="_x0000_i1041" o:spt="1" style="height:1.5pt;width:451.3pt;" fillcolor="#A0A0A0" filled="t" stroked="f" coordsize="21600,21600" o:hr="t" o:hrstd="t" o:hralign="center">
            <v:path/>
            <v:fill on="t" focussize="0,0"/>
            <v:stroke on="f"/>
            <v:imagedata o:title=""/>
            <o:lock v:ext="edit"/>
            <w10:wrap type="none"/>
            <w10:anchorlock/>
          </v:rect>
        </w:pict>
      </w:r>
    </w:p>
    <w:p w14:paraId="5A928200">
      <w:pPr>
        <w:keepNext w:val="0"/>
        <w:keepLines w:val="0"/>
        <w:widowControl/>
        <w:suppressLineNumbers w:val="0"/>
        <w:spacing w:before="0" w:beforeAutospacing="0" w:after="160" w:afterAutospacing="0" w:line="256" w:lineRule="auto"/>
        <w:ind w:left="0" w:right="0"/>
        <w:jc w:val="left"/>
        <w:rPr>
          <w:b/>
          <w:bCs/>
          <w:lang w:val="en-US"/>
        </w:rPr>
      </w:pPr>
      <w:r>
        <w:rPr>
          <w:rFonts w:hint="eastAsia" w:ascii="Calibri" w:hAnsi="Calibri" w:eastAsia="Calibri" w:cs="Times New Roman"/>
          <w:b/>
          <w:bCs/>
          <w:kern w:val="2"/>
          <w:sz w:val="22"/>
          <w:szCs w:val="22"/>
          <w:lang w:val="en-US" w:eastAsia="zh-CN" w:bidi="ar"/>
          <w14:ligatures w14:val="standardContextual"/>
        </w:rPr>
        <w:t>BUDGET IMPLEMENTATION STRATEGY</w:t>
      </w:r>
    </w:p>
    <w:p w14:paraId="7A3C59D6">
      <w:pPr>
        <w:keepNext w:val="0"/>
        <w:keepLines w:val="0"/>
        <w:widowControl/>
        <w:suppressLineNumbers w:val="0"/>
        <w:spacing w:before="0" w:beforeAutospacing="0" w:after="160" w:afterAutospacing="0" w:line="256" w:lineRule="auto"/>
        <w:ind w:left="0" w:right="0"/>
        <w:jc w:val="left"/>
        <w:rPr>
          <w:lang w:val="en-US"/>
        </w:rPr>
      </w:pPr>
      <w:r>
        <w:rPr>
          <w:rFonts w:hint="eastAsia" w:ascii="Calibri" w:hAnsi="Calibri" w:eastAsia="Calibri" w:cs="Times New Roman"/>
          <w:kern w:val="2"/>
          <w:sz w:val="22"/>
          <w:szCs w:val="22"/>
          <w:lang w:val="en-US" w:eastAsia="zh-CN" w:bidi="ar"/>
          <w14:ligatures w14:val="standardContextual"/>
        </w:rPr>
        <w:t>The implementation of the 2026 budget plan shall be guided by the following:</w:t>
      </w:r>
    </w:p>
    <w:p w14:paraId="34BE8913">
      <w:pPr>
        <w:keepNext w:val="0"/>
        <w:keepLines w:val="0"/>
        <w:widowControl/>
        <w:numPr>
          <w:ilvl w:val="0"/>
          <w:numId w:val="4"/>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Transparent procurement and financial accountability </w:t>
      </w:r>
    </w:p>
    <w:p w14:paraId="55E59120">
      <w:pPr>
        <w:keepNext w:val="0"/>
        <w:keepLines w:val="0"/>
        <w:widowControl/>
        <w:numPr>
          <w:ilvl w:val="0"/>
          <w:numId w:val="4"/>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Community participation and stakeholder engagement </w:t>
      </w:r>
    </w:p>
    <w:p w14:paraId="31AA5B92">
      <w:pPr>
        <w:keepNext w:val="0"/>
        <w:keepLines w:val="0"/>
        <w:widowControl/>
        <w:numPr>
          <w:ilvl w:val="0"/>
          <w:numId w:val="4"/>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Compliance with donor and regulatory requirements </w:t>
      </w:r>
    </w:p>
    <w:p w14:paraId="09C293D1">
      <w:pPr>
        <w:keepNext w:val="0"/>
        <w:keepLines w:val="0"/>
        <w:widowControl/>
        <w:numPr>
          <w:ilvl w:val="0"/>
          <w:numId w:val="4"/>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Periodic monitoring, evaluation, and reporting </w:t>
      </w:r>
    </w:p>
    <w:p w14:paraId="19EAD7BC">
      <w:pPr>
        <w:keepNext w:val="0"/>
        <w:keepLines w:val="0"/>
        <w:widowControl/>
        <w:numPr>
          <w:ilvl w:val="0"/>
          <w:numId w:val="4"/>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Sustainable and environmentally friendly project execution </w:t>
      </w:r>
    </w:p>
    <w:p w14:paraId="567622C1">
      <w:pPr>
        <w:keepNext w:val="0"/>
        <w:keepLines w:val="0"/>
        <w:widowControl/>
        <w:numPr>
          <w:ilvl w:val="0"/>
          <w:numId w:val="4"/>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Proper supervision of all construction and humanitarian activities </w:t>
      </w:r>
    </w:p>
    <w:p w14:paraId="425E972F">
      <w:pPr>
        <w:keepNext w:val="0"/>
        <w:keepLines w:val="0"/>
        <w:widowControl/>
        <w:suppressLineNumbers w:val="0"/>
        <w:spacing w:before="0" w:beforeAutospacing="0" w:after="160" w:afterAutospacing="0" w:line="256" w:lineRule="auto"/>
        <w:ind w:left="0" w:right="0"/>
        <w:jc w:val="center"/>
      </w:pPr>
      <w:r>
        <w:rPr>
          <w:rFonts w:hint="eastAsia" w:ascii="Calibri" w:hAnsi="Calibri" w:eastAsia="Calibri" w:cs="Times New Roman"/>
          <w:kern w:val="2"/>
          <w:sz w:val="22"/>
          <w:szCs w:val="22"/>
          <w:lang w:val="en-US" w:eastAsia="en-US"/>
        </w:rPr>
        <w:pict>
          <v:rect id="_x0000_i1042" o:spt="1" style="height:1.5pt;width:451.3pt;" fillcolor="#A0A0A0" filled="t" stroked="f" coordsize="21600,21600" o:hr="t" o:hrstd="t" o:hralign="center">
            <v:path/>
            <v:fill on="t" focussize="0,0"/>
            <v:stroke on="f"/>
            <v:imagedata o:title=""/>
            <o:lock v:ext="edit"/>
            <w10:wrap type="none"/>
            <w10:anchorlock/>
          </v:rect>
        </w:pict>
      </w:r>
    </w:p>
    <w:p w14:paraId="4D17D451">
      <w:pPr>
        <w:keepNext w:val="0"/>
        <w:keepLines w:val="0"/>
        <w:widowControl/>
        <w:suppressLineNumbers w:val="0"/>
        <w:spacing w:before="0" w:beforeAutospacing="0" w:after="160" w:afterAutospacing="0" w:line="256" w:lineRule="auto"/>
        <w:ind w:left="0" w:right="0"/>
        <w:jc w:val="left"/>
        <w:rPr>
          <w:b/>
          <w:bCs/>
          <w:lang w:val="en-US"/>
        </w:rPr>
      </w:pPr>
      <w:r>
        <w:rPr>
          <w:rFonts w:hint="eastAsia" w:ascii="Calibri" w:hAnsi="Calibri" w:eastAsia="Calibri" w:cs="Times New Roman"/>
          <w:b/>
          <w:bCs/>
          <w:kern w:val="2"/>
          <w:sz w:val="22"/>
          <w:szCs w:val="22"/>
          <w:lang w:val="en-US" w:eastAsia="zh-CN" w:bidi="ar"/>
          <w14:ligatures w14:val="standardContextual"/>
        </w:rPr>
        <w:t>EXPECTED IMPACT OF THE 2026 BUDGET</w:t>
      </w:r>
    </w:p>
    <w:p w14:paraId="569CD3F1">
      <w:pPr>
        <w:keepNext w:val="0"/>
        <w:keepLines w:val="0"/>
        <w:widowControl/>
        <w:suppressLineNumbers w:val="0"/>
        <w:spacing w:before="0" w:beforeAutospacing="0" w:after="160" w:afterAutospacing="0" w:line="256" w:lineRule="auto"/>
        <w:ind w:left="0" w:right="0"/>
        <w:jc w:val="left"/>
        <w:rPr>
          <w:lang w:val="en-US"/>
        </w:rPr>
      </w:pPr>
      <w:r>
        <w:rPr>
          <w:rFonts w:hint="eastAsia" w:ascii="Calibri" w:hAnsi="Calibri" w:eastAsia="Calibri" w:cs="Times New Roman"/>
          <w:kern w:val="2"/>
          <w:sz w:val="22"/>
          <w:szCs w:val="22"/>
          <w:lang w:val="en-US" w:eastAsia="zh-CN" w:bidi="ar"/>
          <w14:ligatures w14:val="standardContextual"/>
        </w:rPr>
        <w:t>The successful implementation of the 2026 Budget Plan is expected to:</w:t>
      </w:r>
    </w:p>
    <w:p w14:paraId="1E952412">
      <w:pPr>
        <w:keepNext w:val="0"/>
        <w:keepLines w:val="0"/>
        <w:widowControl/>
        <w:numPr>
          <w:ilvl w:val="0"/>
          <w:numId w:val="5"/>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Improve access to clean water and sanitation facilities </w:t>
      </w:r>
    </w:p>
    <w:p w14:paraId="72875927">
      <w:pPr>
        <w:keepNext w:val="0"/>
        <w:keepLines w:val="0"/>
        <w:widowControl/>
        <w:numPr>
          <w:ilvl w:val="0"/>
          <w:numId w:val="5"/>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Reduce waterborne diseases within beneficiary communities </w:t>
      </w:r>
    </w:p>
    <w:p w14:paraId="3D18DAF5">
      <w:pPr>
        <w:keepNext w:val="0"/>
        <w:keepLines w:val="0"/>
        <w:widowControl/>
        <w:numPr>
          <w:ilvl w:val="0"/>
          <w:numId w:val="5"/>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Enhance educational infrastructure and learning environments </w:t>
      </w:r>
    </w:p>
    <w:p w14:paraId="1DE0003B">
      <w:pPr>
        <w:keepNext w:val="0"/>
        <w:keepLines w:val="0"/>
        <w:widowControl/>
        <w:numPr>
          <w:ilvl w:val="0"/>
          <w:numId w:val="5"/>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Improve community safety through solar street lighting </w:t>
      </w:r>
    </w:p>
    <w:p w14:paraId="7270BF75">
      <w:pPr>
        <w:keepNext w:val="0"/>
        <w:keepLines w:val="0"/>
        <w:widowControl/>
        <w:numPr>
          <w:ilvl w:val="0"/>
          <w:numId w:val="5"/>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Strengthen humanitarian service delivery and operational capacity </w:t>
      </w:r>
    </w:p>
    <w:p w14:paraId="511A5675">
      <w:pPr>
        <w:keepNext w:val="0"/>
        <w:keepLines w:val="0"/>
        <w:widowControl/>
        <w:numPr>
          <w:ilvl w:val="0"/>
          <w:numId w:val="5"/>
        </w:numPr>
        <w:suppressLineNumbers w:val="0"/>
        <w:spacing w:before="0" w:beforeAutospacing="0" w:after="160" w:afterAutospacing="0" w:line="256" w:lineRule="auto"/>
        <w:ind w:left="720" w:right="0" w:hanging="360"/>
        <w:rPr>
          <w:rFonts w:hint="eastAsia" w:ascii="Calibri" w:hAnsi="Calibri" w:eastAsia="Calibri" w:cs="Times New Roman"/>
          <w:kern w:val="2"/>
          <w:sz w:val="22"/>
          <w:szCs w:val="22"/>
          <w:lang w:val="en-US" w:eastAsia="en-US"/>
        </w:rPr>
      </w:pPr>
      <w:r>
        <w:rPr>
          <w:rFonts w:hint="eastAsia" w:ascii="Calibri" w:hAnsi="Calibri" w:eastAsia="Calibri" w:cs="Times New Roman"/>
          <w:kern w:val="2"/>
          <w:sz w:val="22"/>
          <w:szCs w:val="22"/>
          <w:lang w:val="en-US" w:eastAsia="en-US"/>
        </w:rPr>
        <w:t xml:space="preserve">Promote sustainable community development </w:t>
      </w:r>
    </w:p>
    <w:p w14:paraId="7FDDCCAA">
      <w:pPr>
        <w:keepNext w:val="0"/>
        <w:keepLines w:val="0"/>
        <w:widowControl/>
        <w:suppressLineNumbers w:val="0"/>
        <w:spacing w:before="0" w:beforeAutospacing="0" w:after="160" w:afterAutospacing="0" w:line="256" w:lineRule="auto"/>
        <w:ind w:left="0" w:right="0"/>
        <w:jc w:val="center"/>
      </w:pPr>
      <w:r>
        <w:rPr>
          <w:rFonts w:hint="eastAsia" w:ascii="Calibri" w:hAnsi="Calibri" w:eastAsia="Calibri" w:cs="Times New Roman"/>
          <w:kern w:val="2"/>
          <w:sz w:val="22"/>
          <w:szCs w:val="22"/>
          <w:lang w:val="en-US" w:eastAsia="en-US"/>
        </w:rPr>
        <w:pict>
          <v:rect id="_x0000_i1043" o:spt="1" style="height:1.5pt;width:451.3pt;" fillcolor="#A0A0A0" filled="t" stroked="f" coordsize="21600,21600" o:hr="t" o:hrstd="t" o:hralign="center">
            <v:path/>
            <v:fill on="t" focussize="0,0"/>
            <v:stroke on="f"/>
            <v:imagedata o:title=""/>
            <o:lock v:ext="edit"/>
            <w10:wrap type="none"/>
            <w10:anchorlock/>
          </v:rect>
        </w:pict>
      </w:r>
    </w:p>
    <w:p w14:paraId="4EFC5FA7">
      <w:pPr>
        <w:keepNext w:val="0"/>
        <w:keepLines w:val="0"/>
        <w:widowControl/>
        <w:suppressLineNumbers w:val="0"/>
        <w:spacing w:before="0" w:beforeAutospacing="0" w:after="160" w:afterAutospacing="0" w:line="256" w:lineRule="auto"/>
        <w:ind w:left="0" w:right="0"/>
        <w:jc w:val="left"/>
        <w:rPr>
          <w:b/>
          <w:bCs/>
          <w:lang w:val="en-US"/>
        </w:rPr>
      </w:pPr>
      <w:r>
        <w:rPr>
          <w:rFonts w:hint="eastAsia" w:ascii="Calibri" w:hAnsi="Calibri" w:eastAsia="Calibri" w:cs="Times New Roman"/>
          <w:b/>
          <w:bCs/>
          <w:kern w:val="2"/>
          <w:sz w:val="22"/>
          <w:szCs w:val="22"/>
          <w:lang w:val="en-US" w:eastAsia="zh-CN" w:bidi="ar"/>
          <w14:ligatures w14:val="standardContextual"/>
        </w:rPr>
        <w:t>CONCLUSION</w:t>
      </w:r>
    </w:p>
    <w:p w14:paraId="021044CA">
      <w:pPr>
        <w:keepNext w:val="0"/>
        <w:keepLines w:val="0"/>
        <w:widowControl/>
        <w:suppressLineNumbers w:val="0"/>
        <w:spacing w:before="0" w:beforeAutospacing="0" w:after="160" w:afterAutospacing="0" w:line="256" w:lineRule="auto"/>
        <w:ind w:left="0" w:right="0"/>
        <w:jc w:val="left"/>
        <w:rPr>
          <w:lang w:val="en-US"/>
        </w:rPr>
      </w:pPr>
      <w:r>
        <w:rPr>
          <w:rFonts w:hint="eastAsia" w:ascii="Calibri" w:hAnsi="Calibri" w:eastAsia="Calibri" w:cs="Times New Roman"/>
          <w:kern w:val="2"/>
          <w:sz w:val="22"/>
          <w:szCs w:val="22"/>
          <w:lang w:val="en-US" w:eastAsia="zh-CN" w:bidi="ar"/>
          <w14:ligatures w14:val="standardContextual"/>
        </w:rPr>
        <w:t>The 2026 Budget Plan of The Ten Plus Humanitarian Foundation represents the organization’s commitment to delivering impactful humanitarian and community development projects. The Foundation remains dedicated to accountability, sustainability, and improving the lives of vulnerable populations through strategic interventions in WASH, education, and infrastructure development.</w:t>
      </w:r>
    </w:p>
    <w:p w14:paraId="76CC8348">
      <w:pPr>
        <w:keepNext w:val="0"/>
        <w:keepLines w:val="0"/>
        <w:widowControl/>
        <w:suppressLineNumbers w:val="0"/>
        <w:spacing w:before="0" w:beforeAutospacing="0" w:after="160" w:afterAutospacing="0" w:line="256" w:lineRule="auto"/>
        <w:ind w:left="0" w:right="0"/>
        <w:jc w:val="center"/>
      </w:pPr>
      <w:r>
        <w:rPr>
          <w:lang w:val="en-US"/>
        </w:rPr>
        <w:pict>
          <v:rect id="_x0000_i1044" o:spt="1" style="height:1.5pt;width:451.3pt;" fillcolor="#A0A0A0" filled="t" stroked="f" coordsize="21600,21600" o:hr="t" o:hrstd="t" o:hralign="center">
            <v:path/>
            <v:fill on="t" focussize="0,0"/>
            <v:stroke on="f"/>
            <v:imagedata o:title=""/>
            <o:lock v:ext="edit"/>
            <w10:wrap type="none"/>
            <w10:anchorlock/>
          </v:rect>
        </w:pict>
      </w:r>
    </w:p>
    <w:p w14:paraId="24D49398">
      <w:pPr>
        <w:keepNext w:val="0"/>
        <w:keepLines w:val="0"/>
        <w:widowControl/>
        <w:suppressLineNumbers w:val="0"/>
        <w:spacing w:before="0" w:beforeAutospacing="0" w:after="160" w:afterAutospacing="0" w:line="256" w:lineRule="auto"/>
        <w:ind w:left="0" w:right="0"/>
        <w:jc w:val="left"/>
        <w:rPr>
          <w:b/>
          <w:bCs/>
          <w:lang w:val="en-US"/>
        </w:rPr>
      </w:pPr>
      <w:r>
        <w:rPr>
          <w:rFonts w:hint="eastAsia" w:ascii="Calibri" w:hAnsi="Calibri" w:eastAsia="Calibri" w:cs="Times New Roman"/>
          <w:b/>
          <w:bCs/>
          <w:kern w:val="2"/>
          <w:sz w:val="22"/>
          <w:szCs w:val="22"/>
          <w:lang w:val="en-US" w:eastAsia="zh-CN" w:bidi="ar"/>
          <w14:ligatures w14:val="standardContextual"/>
        </w:rPr>
        <w:t>Prepared by:</w:t>
      </w:r>
    </w:p>
    <w:p w14:paraId="503577C5">
      <w:pPr>
        <w:keepNext w:val="0"/>
        <w:keepLines w:val="0"/>
        <w:widowControl/>
        <w:suppressLineNumbers w:val="0"/>
        <w:spacing w:before="0" w:beforeAutospacing="0" w:after="160" w:afterAutospacing="0" w:line="256" w:lineRule="auto"/>
        <w:ind w:left="0" w:right="0"/>
        <w:jc w:val="left"/>
        <w:rPr>
          <w:lang w:val="en-US"/>
        </w:rPr>
      </w:pPr>
      <w:r>
        <w:rPr>
          <w:rFonts w:hint="eastAsia" w:ascii="Calibri" w:hAnsi="Calibri" w:eastAsia="Calibri" w:cs="Times New Roman"/>
          <w:kern w:val="2"/>
          <w:sz w:val="22"/>
          <w:szCs w:val="22"/>
          <w:lang w:val="en-US" w:eastAsia="zh-CN" w:bidi="ar"/>
          <w14:ligatures w14:val="standardContextual"/>
        </w:rPr>
        <w:t>THE TEN PLUS HUMANITARIAN FOUNDATION 2026 BUDGET AND PROJECT PLANNING UNIT</w:t>
      </w:r>
    </w:p>
    <w:p w14:paraId="79510182">
      <w:pPr>
        <w:keepNext w:val="0"/>
        <w:keepLines w:val="0"/>
        <w:widowControl/>
        <w:suppressLineNumbers w:val="0"/>
        <w:spacing w:before="0" w:beforeAutospacing="0" w:after="160" w:afterAutospacing="0" w:line="256" w:lineRule="auto"/>
        <w:ind w:left="0" w:right="0"/>
        <w:jc w:val="center"/>
      </w:pPr>
      <w:r>
        <w:rPr>
          <w:lang w:val="en-US"/>
        </w:rPr>
        <w:pict>
          <v:rect id="_x0000_i1045" o:spt="1" style="height:1.5pt;width:451.3pt;" fillcolor="#A0A0A0" filled="t" stroked="f" coordsize="21600,21600" o:hr="t" o:hrstd="t" o:hralign="center">
            <v:path/>
            <v:fill on="t" focussize="0,0"/>
            <v:stroke on="f"/>
            <v:imagedata o:title=""/>
            <o:lock v:ext="edit"/>
            <w10:wrap type="none"/>
            <w10:anchorlock/>
          </v:rect>
        </w:pict>
      </w:r>
    </w:p>
    <w:p w14:paraId="43C7D961">
      <w:pPr>
        <w:keepNext w:val="0"/>
        <w:keepLines w:val="0"/>
        <w:widowControl/>
        <w:suppressLineNumbers w:val="0"/>
        <w:spacing w:before="0" w:beforeAutospacing="0" w:after="160" w:afterAutospacing="0" w:line="256" w:lineRule="auto"/>
        <w:ind w:left="0" w:right="0"/>
        <w:jc w:val="left"/>
        <w:rPr>
          <w:lang w:val="en-US"/>
        </w:rPr>
      </w:pPr>
    </w:p>
    <w:p w14:paraId="00A913EF"/>
    <w:sectPr>
      <w:pgSz w:w="11906" w:h="16838"/>
      <w:pgMar w:top="1440" w:right="1440" w:bottom="1440" w:left="1440" w:header="708" w:footer="708" w:gutter="0"/>
      <w:paperSrc/>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auto"/>
    <w:pitch w:val="variable"/>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4E6C24"/>
    <w:multiLevelType w:val="multilevel"/>
    <w:tmpl w:val="C44E6C2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F18F5A58"/>
    <w:multiLevelType w:val="multilevel"/>
    <w:tmpl w:val="F18F5A5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F81A16D9"/>
    <w:multiLevelType w:val="multilevel"/>
    <w:tmpl w:val="F81A16D9"/>
    <w:lvl w:ilvl="0" w:tentative="0">
      <w:start w:val="1"/>
      <w:numFmt w:val="decimal"/>
      <w:lvlText w:val="%1."/>
      <w:lvlJc w:val="left"/>
      <w:pPr>
        <w:tabs>
          <w:tab w:val="left" w:pos="720"/>
        </w:tabs>
        <w:ind w:left="720" w:firstLine="65176"/>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2A10472E"/>
    <w:multiLevelType w:val="multilevel"/>
    <w:tmpl w:val="2A10472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ascii="Courier New" w:hAnsi="Courier New" w:cs="Times New Roman"/>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4F3BB7A3"/>
    <w:multiLevelType w:val="multilevel"/>
    <w:tmpl w:val="4F3BB7A3"/>
    <w:lvl w:ilvl="0" w:tentative="0">
      <w:start w:val="1"/>
      <w:numFmt w:val="decimal"/>
      <w:lvlText w:val="%1."/>
      <w:lvlJc w:val="left"/>
      <w:pPr>
        <w:tabs>
          <w:tab w:val="left" w:pos="720"/>
        </w:tabs>
        <w:ind w:left="720" w:firstLine="65176"/>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720"/>
  <w:displayHorizontalDrawingGridEvery w:val="1"/>
  <w:displayVerticalDrawingGridEvery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A88"/>
    <w:rsid w:val="000550CE"/>
    <w:rsid w:val="001F38CA"/>
    <w:rsid w:val="00347C7E"/>
    <w:rsid w:val="0049760E"/>
    <w:rsid w:val="006B6A88"/>
    <w:rsid w:val="007F6F75"/>
    <w:rsid w:val="00BC72F3"/>
    <w:rsid w:val="00E54E55"/>
    <w:rsid w:val="0BEF3052"/>
    <w:rsid w:val="586511FC"/>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zh-CN"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uiPriority w:val="1"/>
  </w:style>
  <w:style w:type="table" w:default="1" w:styleId="12">
    <w:name w:val="Normal Table"/>
    <w:semiHidden/>
    <w:unhideWhenUsed/>
    <w:qFormat/>
    <w:uiPriority w:val="99"/>
    <w:pPr>
      <w:keepNext w:val="0"/>
      <w:keepLines w:val="0"/>
      <w:widowControl/>
      <w:suppressLineNumbers w:val="0"/>
      <w:spacing w:before="0" w:beforeAutospacing="0" w:after="160" w:afterAutospacing="0" w:line="256" w:lineRule="auto"/>
      <w:ind w:left="0" w:right="0"/>
    </w:pPr>
    <w:rPr>
      <w:rFonts w:hint="eastAsia" w:ascii="Calibri" w:hAnsi="Calibri" w:cs="Times New Roman"/>
      <w:kern w:val="2"/>
      <w:sz w:val="22"/>
      <w:szCs w:val="22"/>
      <w:lang w:eastAsia="en-US"/>
    </w:rPr>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Heading 1 Char"/>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16">
    <w:name w:val="Heading 2 Char"/>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17">
    <w:name w:val="Heading 3 Char"/>
    <w:basedOn w:val="11"/>
    <w:link w:val="4"/>
    <w:semiHidden/>
    <w:uiPriority w:val="9"/>
    <w:rPr>
      <w:rFonts w:eastAsiaTheme="majorEastAsia" w:cstheme="majorBidi"/>
      <w:color w:val="2F5597" w:themeColor="accent1" w:themeShade="BF"/>
      <w:sz w:val="28"/>
      <w:szCs w:val="28"/>
    </w:rPr>
  </w:style>
  <w:style w:type="character" w:customStyle="1" w:styleId="18">
    <w:name w:val="Heading 4 Char"/>
    <w:basedOn w:val="11"/>
    <w:link w:val="5"/>
    <w:semiHidden/>
    <w:qFormat/>
    <w:uiPriority w:val="9"/>
    <w:rPr>
      <w:rFonts w:eastAsiaTheme="majorEastAsia" w:cstheme="majorBidi"/>
      <w:i/>
      <w:iCs/>
      <w:color w:val="2F5597" w:themeColor="accent1" w:themeShade="BF"/>
    </w:rPr>
  </w:style>
  <w:style w:type="character" w:customStyle="1" w:styleId="19">
    <w:name w:val="Heading 5 Char"/>
    <w:basedOn w:val="11"/>
    <w:link w:val="6"/>
    <w:semiHidden/>
    <w:uiPriority w:val="9"/>
    <w:rPr>
      <w:rFonts w:eastAsiaTheme="majorEastAsia" w:cstheme="majorBidi"/>
      <w:color w:val="2F5597" w:themeColor="accent1" w:themeShade="BF"/>
    </w:rPr>
  </w:style>
  <w:style w:type="character" w:customStyle="1" w:styleId="20">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Title Char"/>
    <w:basedOn w:val="11"/>
    <w:link w:val="14"/>
    <w:uiPriority w:val="10"/>
    <w:rPr>
      <w:rFonts w:asciiTheme="majorHAnsi" w:hAnsiTheme="majorHAnsi" w:eastAsiaTheme="majorEastAsia" w:cstheme="majorBidi"/>
      <w:spacing w:val="-10"/>
      <w:kern w:val="28"/>
      <w:sz w:val="56"/>
      <w:szCs w:val="56"/>
    </w:rPr>
  </w:style>
  <w:style w:type="character" w:customStyle="1" w:styleId="25">
    <w:name w:val="Subtitle Char"/>
    <w:basedOn w:val="11"/>
    <w:link w:val="13"/>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Quote Char"/>
    <w:basedOn w:val="11"/>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Intense Quote Char"/>
    <w:basedOn w:val="11"/>
    <w:link w:val="30"/>
    <w:qFormat/>
    <w:uiPriority w:val="30"/>
    <w:rPr>
      <w:i/>
      <w:iCs/>
      <w:color w:val="2F5597" w:themeColor="accent1" w:themeShade="BF"/>
    </w:rPr>
  </w:style>
  <w:style w:type="character" w:customStyle="1" w:styleId="32">
    <w:name w:val="Intense Reference"/>
    <w:basedOn w:val="11"/>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608</Words>
  <Characters>3472</Characters>
  <Lines>28</Lines>
  <Paragraphs>8</Paragraphs>
  <TotalTime>27</TotalTime>
  <ScaleCrop>false</ScaleCrop>
  <LinksUpToDate>false</LinksUpToDate>
  <CharactersWithSpaces>4072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2026-05-28T08:38:00Z</dcterms:created>
  <dc:creator>Kingsley Ahukanna</dc:creator>
  <cp:lastModifiedBy>PC</cp:lastModifiedBy>
  <dcterms:modified xsi:type="dcterms:W3CDTF">2026-05-28T13:25:47Z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2AA21599F09D41879AFF6728F6099BC5_12</vt:lpwstr>
  </property>
</Properties>
</file>